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B22DE" w14:textId="77777777" w:rsidR="00AE13B4" w:rsidRPr="00CD4AD4" w:rsidRDefault="00AE13B4" w:rsidP="00CD4AD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4AD4"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1AA4EB99" w14:textId="77777777" w:rsidR="00CD4AD4" w:rsidRPr="00CD4AD4" w:rsidRDefault="00CD4AD4" w:rsidP="00CD4AD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7EC304" w14:textId="10655BCB" w:rsidR="009437DF" w:rsidRPr="00CD4AD4" w:rsidRDefault="00E744C4" w:rsidP="00CD4AD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4AD4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AE13B4" w:rsidRPr="00CD4AD4">
        <w:rPr>
          <w:rFonts w:ascii="Arial" w:hAnsi="Arial" w:cs="Arial"/>
          <w:b/>
          <w:bCs/>
          <w:sz w:val="24"/>
          <w:szCs w:val="24"/>
        </w:rPr>
        <w:t>S</w:t>
      </w:r>
      <w:r w:rsidRPr="00CD4AD4">
        <w:rPr>
          <w:rFonts w:ascii="Arial" w:hAnsi="Arial" w:cs="Arial"/>
          <w:b/>
          <w:bCs/>
          <w:sz w:val="24"/>
          <w:szCs w:val="24"/>
        </w:rPr>
        <w:t xml:space="preserve">1. </w:t>
      </w:r>
      <w:r w:rsidRPr="00CD4AD4">
        <w:rPr>
          <w:rFonts w:ascii="Arial" w:hAnsi="Arial" w:cs="Arial"/>
          <w:sz w:val="24"/>
          <w:szCs w:val="24"/>
        </w:rPr>
        <w:t>The summary of the data in studies</w:t>
      </w:r>
    </w:p>
    <w:tbl>
      <w:tblPr>
        <w:tblStyle w:val="Tabelacomgrade"/>
        <w:tblW w:w="16360" w:type="dxa"/>
        <w:jc w:val="center"/>
        <w:tblLayout w:type="fixed"/>
        <w:tblLook w:val="04A0" w:firstRow="1" w:lastRow="0" w:firstColumn="1" w:lastColumn="0" w:noHBand="0" w:noVBand="1"/>
      </w:tblPr>
      <w:tblGrid>
        <w:gridCol w:w="3538"/>
        <w:gridCol w:w="4860"/>
        <w:gridCol w:w="3642"/>
        <w:gridCol w:w="1620"/>
        <w:gridCol w:w="1260"/>
        <w:gridCol w:w="1440"/>
      </w:tblGrid>
      <w:tr w:rsidR="00E744C4" w:rsidRPr="00CD4AD4" w14:paraId="142F5B8E" w14:textId="77777777" w:rsidTr="00CD4AD4">
        <w:trPr>
          <w:trHeight w:val="557"/>
          <w:jc w:val="center"/>
        </w:trPr>
        <w:tc>
          <w:tcPr>
            <w:tcW w:w="3538" w:type="dxa"/>
          </w:tcPr>
          <w:p w14:paraId="080C5AC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  <w:t>Study</w:t>
            </w:r>
          </w:p>
        </w:tc>
        <w:tc>
          <w:tcPr>
            <w:tcW w:w="4860" w:type="dxa"/>
          </w:tcPr>
          <w:p w14:paraId="5D03547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  <w:t>Drug Class</w:t>
            </w:r>
          </w:p>
        </w:tc>
        <w:tc>
          <w:tcPr>
            <w:tcW w:w="3642" w:type="dxa"/>
          </w:tcPr>
          <w:p w14:paraId="63CC40B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  <w:t>Drug Name</w:t>
            </w:r>
          </w:p>
        </w:tc>
        <w:tc>
          <w:tcPr>
            <w:tcW w:w="1620" w:type="dxa"/>
          </w:tcPr>
          <w:p w14:paraId="2DDB33A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  <w:t>No. of Participants</w:t>
            </w:r>
          </w:p>
        </w:tc>
        <w:tc>
          <w:tcPr>
            <w:tcW w:w="1260" w:type="dxa"/>
          </w:tcPr>
          <w:p w14:paraId="4D5A381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  <w:t>Dosage (mg/day)</w:t>
            </w:r>
          </w:p>
        </w:tc>
        <w:tc>
          <w:tcPr>
            <w:tcW w:w="1440" w:type="dxa"/>
          </w:tcPr>
          <w:p w14:paraId="19274FD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b/>
                <w:color w:val="000000"/>
                <w:sz w:val="24"/>
                <w:szCs w:val="24"/>
                <w:lang w:eastAsia="zh-CN" w:bidi="ar-SA"/>
              </w:rPr>
              <w:t>Treatment Duration</w:t>
            </w:r>
          </w:p>
        </w:tc>
      </w:tr>
      <w:tr w:rsidR="00E744C4" w:rsidRPr="00CD4AD4" w14:paraId="0B419211" w14:textId="77777777" w:rsidTr="00CD4AD4">
        <w:trPr>
          <w:trHeight w:val="64"/>
          <w:jc w:val="center"/>
        </w:trPr>
        <w:tc>
          <w:tcPr>
            <w:tcW w:w="3538" w:type="dxa"/>
          </w:tcPr>
          <w:p w14:paraId="77D805A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Tariot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PN et al.,  2001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13</w:t>
            </w:r>
          </w:p>
        </w:tc>
        <w:tc>
          <w:tcPr>
            <w:tcW w:w="4860" w:type="dxa"/>
            <w:vMerge w:val="restart"/>
          </w:tcPr>
          <w:p w14:paraId="355D411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Acetylcholinesterase inhibitor</w:t>
            </w:r>
          </w:p>
        </w:tc>
        <w:tc>
          <w:tcPr>
            <w:tcW w:w="3642" w:type="dxa"/>
            <w:vMerge w:val="restart"/>
          </w:tcPr>
          <w:p w14:paraId="5597DBF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Donepezil</w:t>
            </w:r>
          </w:p>
        </w:tc>
        <w:tc>
          <w:tcPr>
            <w:tcW w:w="1620" w:type="dxa"/>
          </w:tcPr>
          <w:p w14:paraId="3DDE51D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208</w:t>
            </w:r>
          </w:p>
        </w:tc>
        <w:tc>
          <w:tcPr>
            <w:tcW w:w="1260" w:type="dxa"/>
          </w:tcPr>
          <w:p w14:paraId="14F5BCE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10</w:t>
            </w:r>
          </w:p>
        </w:tc>
        <w:tc>
          <w:tcPr>
            <w:tcW w:w="1440" w:type="dxa"/>
          </w:tcPr>
          <w:p w14:paraId="325BEA8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24</w:t>
            </w:r>
          </w:p>
        </w:tc>
      </w:tr>
      <w:tr w:rsidR="00E744C4" w:rsidRPr="00CD4AD4" w14:paraId="0EA220E6" w14:textId="77777777" w:rsidTr="00CD4AD4">
        <w:trPr>
          <w:trHeight w:val="58"/>
          <w:jc w:val="center"/>
        </w:trPr>
        <w:tc>
          <w:tcPr>
            <w:tcW w:w="3538" w:type="dxa"/>
          </w:tcPr>
          <w:p w14:paraId="6D8D592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Ravina et al., 2004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14</w:t>
            </w:r>
          </w:p>
        </w:tc>
        <w:tc>
          <w:tcPr>
            <w:tcW w:w="4860" w:type="dxa"/>
            <w:vMerge/>
          </w:tcPr>
          <w:p w14:paraId="62A2629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  <w:vMerge/>
          </w:tcPr>
          <w:p w14:paraId="0AAC4B7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1620" w:type="dxa"/>
          </w:tcPr>
          <w:p w14:paraId="0ED6DDB5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9</w:t>
            </w:r>
          </w:p>
        </w:tc>
        <w:tc>
          <w:tcPr>
            <w:tcW w:w="1260" w:type="dxa"/>
          </w:tcPr>
          <w:p w14:paraId="6404304F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A1718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A1718"/>
                <w:sz w:val="24"/>
                <w:szCs w:val="24"/>
                <w:lang w:eastAsia="zh-CN" w:bidi="ar-SA"/>
              </w:rPr>
              <w:t>10</w:t>
            </w:r>
          </w:p>
        </w:tc>
        <w:tc>
          <w:tcPr>
            <w:tcW w:w="1440" w:type="dxa"/>
          </w:tcPr>
          <w:p w14:paraId="0FBE327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10</w:t>
            </w:r>
          </w:p>
        </w:tc>
      </w:tr>
      <w:tr w:rsidR="00E744C4" w:rsidRPr="00CD4AD4" w14:paraId="67F3E00B" w14:textId="77777777" w:rsidTr="00CD4AD4">
        <w:trPr>
          <w:trHeight w:val="58"/>
          <w:jc w:val="center"/>
        </w:trPr>
        <w:tc>
          <w:tcPr>
            <w:tcW w:w="3538" w:type="dxa"/>
          </w:tcPr>
          <w:p w14:paraId="7CD4D71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Imbimbo BP et al., 2000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15</w:t>
            </w:r>
          </w:p>
        </w:tc>
        <w:tc>
          <w:tcPr>
            <w:tcW w:w="4860" w:type="dxa"/>
            <w:vMerge/>
          </w:tcPr>
          <w:p w14:paraId="0C4C8EC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  <w:vMerge w:val="restart"/>
          </w:tcPr>
          <w:p w14:paraId="700D76A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Eptastigmine</w:t>
            </w:r>
            <w:proofErr w:type="spellEnd"/>
          </w:p>
        </w:tc>
        <w:tc>
          <w:tcPr>
            <w:tcW w:w="1620" w:type="dxa"/>
          </w:tcPr>
          <w:p w14:paraId="4F8CC34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230</w:t>
            </w:r>
          </w:p>
        </w:tc>
        <w:tc>
          <w:tcPr>
            <w:tcW w:w="1260" w:type="dxa"/>
          </w:tcPr>
          <w:p w14:paraId="662C24A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12</w:t>
            </w:r>
          </w:p>
        </w:tc>
        <w:tc>
          <w:tcPr>
            <w:tcW w:w="1440" w:type="dxa"/>
          </w:tcPr>
          <w:p w14:paraId="4687EF4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25</w:t>
            </w:r>
          </w:p>
        </w:tc>
      </w:tr>
      <w:tr w:rsidR="00E744C4" w:rsidRPr="00CD4AD4" w14:paraId="6CFAA783" w14:textId="77777777" w:rsidTr="00CD4AD4">
        <w:trPr>
          <w:trHeight w:val="58"/>
          <w:jc w:val="center"/>
        </w:trPr>
        <w:tc>
          <w:tcPr>
            <w:tcW w:w="3538" w:type="dxa"/>
          </w:tcPr>
          <w:p w14:paraId="11E6F0FF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Imbimbo BP et al.,  1999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16</w:t>
            </w:r>
          </w:p>
        </w:tc>
        <w:tc>
          <w:tcPr>
            <w:tcW w:w="4860" w:type="dxa"/>
            <w:vMerge/>
          </w:tcPr>
          <w:p w14:paraId="63B828C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  <w:vMerge/>
          </w:tcPr>
          <w:p w14:paraId="2B0202D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1620" w:type="dxa"/>
          </w:tcPr>
          <w:p w14:paraId="0734893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327</w:t>
            </w:r>
          </w:p>
        </w:tc>
        <w:tc>
          <w:tcPr>
            <w:tcW w:w="1260" w:type="dxa"/>
          </w:tcPr>
          <w:p w14:paraId="0580CDE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60</w:t>
            </w:r>
          </w:p>
        </w:tc>
        <w:tc>
          <w:tcPr>
            <w:tcW w:w="1440" w:type="dxa"/>
          </w:tcPr>
          <w:p w14:paraId="39682FB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24</w:t>
            </w:r>
          </w:p>
        </w:tc>
      </w:tr>
      <w:tr w:rsidR="00E744C4" w:rsidRPr="00CD4AD4" w14:paraId="26372784" w14:textId="77777777" w:rsidTr="00CD4AD4">
        <w:trPr>
          <w:trHeight w:val="58"/>
          <w:jc w:val="center"/>
        </w:trPr>
        <w:tc>
          <w:tcPr>
            <w:tcW w:w="3538" w:type="dxa"/>
          </w:tcPr>
          <w:p w14:paraId="66F9435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Burns A et al., 2009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17</w:t>
            </w:r>
          </w:p>
        </w:tc>
        <w:tc>
          <w:tcPr>
            <w:tcW w:w="4860" w:type="dxa"/>
            <w:vMerge/>
          </w:tcPr>
          <w:p w14:paraId="0399A9C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391378E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Galantamine</w:t>
            </w:r>
          </w:p>
        </w:tc>
        <w:tc>
          <w:tcPr>
            <w:tcW w:w="1620" w:type="dxa"/>
          </w:tcPr>
          <w:p w14:paraId="3B1243E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207</w:t>
            </w:r>
          </w:p>
        </w:tc>
        <w:tc>
          <w:tcPr>
            <w:tcW w:w="1260" w:type="dxa"/>
          </w:tcPr>
          <w:p w14:paraId="46C3FD2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24</w:t>
            </w:r>
          </w:p>
        </w:tc>
        <w:tc>
          <w:tcPr>
            <w:tcW w:w="1440" w:type="dxa"/>
          </w:tcPr>
          <w:p w14:paraId="67D30A1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24</w:t>
            </w:r>
          </w:p>
        </w:tc>
      </w:tr>
      <w:tr w:rsidR="00E744C4" w:rsidRPr="00CD4AD4" w14:paraId="58CAE3AE" w14:textId="77777777" w:rsidTr="00CD4AD4">
        <w:trPr>
          <w:trHeight w:val="58"/>
          <w:jc w:val="center"/>
        </w:trPr>
        <w:tc>
          <w:tcPr>
            <w:tcW w:w="3538" w:type="dxa"/>
          </w:tcPr>
          <w:p w14:paraId="2CF3C2E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Knapp MJ et al., 1994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18</w:t>
            </w:r>
          </w:p>
        </w:tc>
        <w:tc>
          <w:tcPr>
            <w:tcW w:w="4860" w:type="dxa"/>
            <w:vMerge/>
          </w:tcPr>
          <w:p w14:paraId="1E88EA7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05989DB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Physostigmine</w:t>
            </w:r>
          </w:p>
        </w:tc>
        <w:tc>
          <w:tcPr>
            <w:tcW w:w="1620" w:type="dxa"/>
          </w:tcPr>
          <w:p w14:paraId="4AE678C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663</w:t>
            </w:r>
          </w:p>
        </w:tc>
        <w:tc>
          <w:tcPr>
            <w:tcW w:w="1260" w:type="dxa"/>
          </w:tcPr>
          <w:p w14:paraId="06B520B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160</w:t>
            </w:r>
          </w:p>
        </w:tc>
        <w:tc>
          <w:tcPr>
            <w:tcW w:w="1440" w:type="dxa"/>
          </w:tcPr>
          <w:p w14:paraId="6DB5214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30</w:t>
            </w:r>
          </w:p>
        </w:tc>
      </w:tr>
      <w:tr w:rsidR="00E744C4" w:rsidRPr="00CD4AD4" w14:paraId="4CDED4D2" w14:textId="77777777" w:rsidTr="00CD4AD4">
        <w:trPr>
          <w:trHeight w:val="58"/>
          <w:jc w:val="center"/>
        </w:trPr>
        <w:tc>
          <w:tcPr>
            <w:tcW w:w="3538" w:type="dxa"/>
          </w:tcPr>
          <w:p w14:paraId="7A8D754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Farlow M et al., 1992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19</w:t>
            </w:r>
          </w:p>
        </w:tc>
        <w:tc>
          <w:tcPr>
            <w:tcW w:w="4860" w:type="dxa"/>
            <w:vMerge/>
          </w:tcPr>
          <w:p w14:paraId="1FD93AA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6BABD6E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Tacrine</w:t>
            </w:r>
          </w:p>
        </w:tc>
        <w:tc>
          <w:tcPr>
            <w:tcW w:w="1620" w:type="dxa"/>
          </w:tcPr>
          <w:p w14:paraId="3A61667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468</w:t>
            </w:r>
          </w:p>
        </w:tc>
        <w:tc>
          <w:tcPr>
            <w:tcW w:w="1260" w:type="dxa"/>
          </w:tcPr>
          <w:p w14:paraId="45A5B75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80</w:t>
            </w:r>
          </w:p>
        </w:tc>
        <w:tc>
          <w:tcPr>
            <w:tcW w:w="1440" w:type="dxa"/>
          </w:tcPr>
          <w:p w14:paraId="0176FD4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12</w:t>
            </w:r>
          </w:p>
        </w:tc>
      </w:tr>
      <w:tr w:rsidR="00E744C4" w:rsidRPr="00CD4AD4" w14:paraId="6871EACD" w14:textId="77777777" w:rsidTr="00CD4AD4">
        <w:trPr>
          <w:trHeight w:val="155"/>
          <w:jc w:val="center"/>
        </w:trPr>
        <w:tc>
          <w:tcPr>
            <w:tcW w:w="3538" w:type="dxa"/>
          </w:tcPr>
          <w:p w14:paraId="1B97623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Ferrero et al., 2016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20</w:t>
            </w:r>
          </w:p>
        </w:tc>
        <w:tc>
          <w:tcPr>
            <w:tcW w:w="4860" w:type="dxa"/>
            <w:vMerge w:val="restart"/>
          </w:tcPr>
          <w:p w14:paraId="199ED84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  <w:t>anti-amyloid-beta (A) monoclonal antibody</w:t>
            </w:r>
          </w:p>
        </w:tc>
        <w:tc>
          <w:tcPr>
            <w:tcW w:w="3642" w:type="dxa"/>
          </w:tcPr>
          <w:p w14:paraId="7DDCEE6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Aducanumab</w:t>
            </w:r>
          </w:p>
        </w:tc>
        <w:tc>
          <w:tcPr>
            <w:tcW w:w="1620" w:type="dxa"/>
          </w:tcPr>
          <w:p w14:paraId="1FB26C2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39</w:t>
            </w:r>
          </w:p>
        </w:tc>
        <w:tc>
          <w:tcPr>
            <w:tcW w:w="1260" w:type="dxa"/>
          </w:tcPr>
          <w:p w14:paraId="1AEC483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21201E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21201E"/>
                <w:sz w:val="24"/>
                <w:szCs w:val="24"/>
                <w:lang w:eastAsia="zh-CN" w:bidi="ar-SA"/>
              </w:rPr>
              <w:t>60</w:t>
            </w:r>
          </w:p>
        </w:tc>
        <w:tc>
          <w:tcPr>
            <w:tcW w:w="1440" w:type="dxa"/>
          </w:tcPr>
          <w:p w14:paraId="759B78B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11</w:t>
            </w:r>
          </w:p>
        </w:tc>
      </w:tr>
      <w:tr w:rsidR="00E744C4" w:rsidRPr="00CD4AD4" w14:paraId="370B2834" w14:textId="77777777" w:rsidTr="00CD4AD4">
        <w:trPr>
          <w:trHeight w:val="58"/>
          <w:jc w:val="center"/>
        </w:trPr>
        <w:tc>
          <w:tcPr>
            <w:tcW w:w="3538" w:type="dxa"/>
          </w:tcPr>
          <w:p w14:paraId="7549A5D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Salloway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2009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21</w:t>
            </w:r>
          </w:p>
        </w:tc>
        <w:tc>
          <w:tcPr>
            <w:tcW w:w="4860" w:type="dxa"/>
            <w:vMerge/>
          </w:tcPr>
          <w:p w14:paraId="256C347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4325DA1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  <w:t>Bapineuzumab</w:t>
            </w:r>
          </w:p>
        </w:tc>
        <w:tc>
          <w:tcPr>
            <w:tcW w:w="1620" w:type="dxa"/>
          </w:tcPr>
          <w:p w14:paraId="1E2CF09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124</w:t>
            </w:r>
          </w:p>
        </w:tc>
        <w:tc>
          <w:tcPr>
            <w:tcW w:w="1260" w:type="dxa"/>
          </w:tcPr>
          <w:p w14:paraId="3D17705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</w:t>
            </w:r>
          </w:p>
        </w:tc>
        <w:tc>
          <w:tcPr>
            <w:tcW w:w="1440" w:type="dxa"/>
          </w:tcPr>
          <w:p w14:paraId="473E2B2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44</w:t>
            </w:r>
          </w:p>
        </w:tc>
      </w:tr>
      <w:tr w:rsidR="00E744C4" w:rsidRPr="00CD4AD4" w14:paraId="77A46BB8" w14:textId="77777777" w:rsidTr="00CD4AD4">
        <w:trPr>
          <w:trHeight w:val="58"/>
          <w:jc w:val="center"/>
        </w:trPr>
        <w:tc>
          <w:tcPr>
            <w:tcW w:w="3538" w:type="dxa"/>
          </w:tcPr>
          <w:p w14:paraId="421217F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Salloway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2025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22</w:t>
            </w:r>
          </w:p>
        </w:tc>
        <w:tc>
          <w:tcPr>
            <w:tcW w:w="4860" w:type="dxa"/>
            <w:vMerge/>
          </w:tcPr>
          <w:p w14:paraId="4B2E976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557426F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Gantenerumab</w:t>
            </w:r>
          </w:p>
        </w:tc>
        <w:tc>
          <w:tcPr>
            <w:tcW w:w="1620" w:type="dxa"/>
          </w:tcPr>
          <w:p w14:paraId="64086B1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993</w:t>
            </w:r>
          </w:p>
        </w:tc>
        <w:tc>
          <w:tcPr>
            <w:tcW w:w="1260" w:type="dxa"/>
          </w:tcPr>
          <w:p w14:paraId="3201072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1600</w:t>
            </w:r>
          </w:p>
        </w:tc>
        <w:tc>
          <w:tcPr>
            <w:tcW w:w="1440" w:type="dxa"/>
          </w:tcPr>
          <w:p w14:paraId="6C7C4D0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116</w:t>
            </w:r>
          </w:p>
        </w:tc>
      </w:tr>
      <w:tr w:rsidR="00E744C4" w:rsidRPr="00CD4AD4" w14:paraId="1C0AE591" w14:textId="77777777" w:rsidTr="00CD4AD4">
        <w:trPr>
          <w:trHeight w:val="58"/>
          <w:jc w:val="center"/>
        </w:trPr>
        <w:tc>
          <w:tcPr>
            <w:tcW w:w="3538" w:type="dxa"/>
          </w:tcPr>
          <w:p w14:paraId="79C5720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212121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212121"/>
                <w:sz w:val="24"/>
                <w:szCs w:val="24"/>
                <w:lang w:eastAsia="zh-CN" w:bidi="ar-SA"/>
              </w:rPr>
              <w:t>Van Gool et al., 2001</w:t>
            </w:r>
            <w:r w:rsidRPr="00CD4AD4">
              <w:rPr>
                <w:rFonts w:ascii="Arial" w:eastAsia="Times New Roman Regular" w:hAnsi="Arial" w:cs="Arial"/>
                <w:color w:val="212121"/>
                <w:sz w:val="24"/>
                <w:szCs w:val="24"/>
                <w:vertAlign w:val="superscript"/>
                <w:lang w:eastAsia="zh-CN" w:bidi="ar-SA"/>
              </w:rPr>
              <w:t>23</w:t>
            </w:r>
          </w:p>
        </w:tc>
        <w:tc>
          <w:tcPr>
            <w:tcW w:w="4860" w:type="dxa"/>
          </w:tcPr>
          <w:p w14:paraId="26B5081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212121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212121"/>
                <w:sz w:val="24"/>
                <w:szCs w:val="24"/>
                <w:lang w:eastAsia="zh-CN" w:bidi="ar-SA"/>
              </w:rPr>
              <w:t>anti-inflammatory</w:t>
            </w:r>
          </w:p>
        </w:tc>
        <w:tc>
          <w:tcPr>
            <w:tcW w:w="3642" w:type="dxa"/>
          </w:tcPr>
          <w:p w14:paraId="0A04D43F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212121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212121"/>
                <w:sz w:val="24"/>
                <w:szCs w:val="24"/>
                <w:lang w:eastAsia="zh-CN" w:bidi="ar-SA"/>
              </w:rPr>
              <w:t>Hydroxychloroquine</w:t>
            </w:r>
          </w:p>
        </w:tc>
        <w:tc>
          <w:tcPr>
            <w:tcW w:w="1620" w:type="dxa"/>
          </w:tcPr>
          <w:p w14:paraId="764F1F9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168</w:t>
            </w:r>
          </w:p>
        </w:tc>
        <w:tc>
          <w:tcPr>
            <w:tcW w:w="1260" w:type="dxa"/>
          </w:tcPr>
          <w:p w14:paraId="547BF89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400</w:t>
            </w:r>
          </w:p>
        </w:tc>
        <w:tc>
          <w:tcPr>
            <w:tcW w:w="1440" w:type="dxa"/>
          </w:tcPr>
          <w:p w14:paraId="32FC81C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72</w:t>
            </w:r>
          </w:p>
        </w:tc>
      </w:tr>
      <w:tr w:rsidR="00E744C4" w:rsidRPr="00CD4AD4" w14:paraId="29D4A844" w14:textId="77777777" w:rsidTr="00CD4AD4">
        <w:trPr>
          <w:trHeight w:val="58"/>
          <w:jc w:val="center"/>
        </w:trPr>
        <w:tc>
          <w:tcPr>
            <w:tcW w:w="3538" w:type="dxa"/>
          </w:tcPr>
          <w:p w14:paraId="6915A95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Olin et al., 2001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24</w:t>
            </w:r>
          </w:p>
        </w:tc>
        <w:tc>
          <w:tcPr>
            <w:tcW w:w="4860" w:type="dxa"/>
            <w:vMerge w:val="restart"/>
          </w:tcPr>
          <w:p w14:paraId="7F0E5B3F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Antipsychotics</w:t>
            </w:r>
          </w:p>
        </w:tc>
        <w:tc>
          <w:tcPr>
            <w:tcW w:w="3642" w:type="dxa"/>
            <w:vMerge w:val="restart"/>
          </w:tcPr>
          <w:p w14:paraId="64CF8EA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Carbamazepine</w:t>
            </w:r>
          </w:p>
        </w:tc>
        <w:tc>
          <w:tcPr>
            <w:tcW w:w="1620" w:type="dxa"/>
          </w:tcPr>
          <w:p w14:paraId="099F6B0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9</w:t>
            </w:r>
          </w:p>
        </w:tc>
        <w:tc>
          <w:tcPr>
            <w:tcW w:w="1260" w:type="dxa"/>
          </w:tcPr>
          <w:p w14:paraId="43D9389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400</w:t>
            </w:r>
          </w:p>
        </w:tc>
        <w:tc>
          <w:tcPr>
            <w:tcW w:w="1440" w:type="dxa"/>
          </w:tcPr>
          <w:p w14:paraId="7F5CE54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6</w:t>
            </w:r>
          </w:p>
        </w:tc>
      </w:tr>
      <w:tr w:rsidR="00E744C4" w:rsidRPr="00CD4AD4" w14:paraId="373BAB8B" w14:textId="77777777" w:rsidTr="00CD4AD4">
        <w:trPr>
          <w:trHeight w:val="58"/>
          <w:jc w:val="center"/>
        </w:trPr>
        <w:tc>
          <w:tcPr>
            <w:tcW w:w="3538" w:type="dxa"/>
          </w:tcPr>
          <w:p w14:paraId="5E47F9A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Banerjee et al., 2023a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25</w:t>
            </w:r>
          </w:p>
        </w:tc>
        <w:tc>
          <w:tcPr>
            <w:tcW w:w="4860" w:type="dxa"/>
            <w:vMerge/>
          </w:tcPr>
          <w:p w14:paraId="0A41DB1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  <w:vMerge/>
          </w:tcPr>
          <w:p w14:paraId="1B7F675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</w:p>
        </w:tc>
        <w:tc>
          <w:tcPr>
            <w:tcW w:w="1620" w:type="dxa"/>
          </w:tcPr>
          <w:p w14:paraId="01AB2D0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40</w:t>
            </w:r>
          </w:p>
        </w:tc>
        <w:tc>
          <w:tcPr>
            <w:tcW w:w="1260" w:type="dxa"/>
          </w:tcPr>
          <w:p w14:paraId="1EEA10A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300</w:t>
            </w:r>
          </w:p>
        </w:tc>
        <w:tc>
          <w:tcPr>
            <w:tcW w:w="1440" w:type="dxa"/>
          </w:tcPr>
          <w:p w14:paraId="148E6EC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12</w:t>
            </w:r>
          </w:p>
        </w:tc>
      </w:tr>
      <w:tr w:rsidR="00E744C4" w:rsidRPr="00CD4AD4" w14:paraId="2BBA4677" w14:textId="77777777" w:rsidTr="00CD4AD4">
        <w:trPr>
          <w:trHeight w:val="153"/>
          <w:jc w:val="center"/>
        </w:trPr>
        <w:tc>
          <w:tcPr>
            <w:tcW w:w="3538" w:type="dxa"/>
          </w:tcPr>
          <w:p w14:paraId="0730CDA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Banerjee et al., 2023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26</w:t>
            </w:r>
          </w:p>
        </w:tc>
        <w:tc>
          <w:tcPr>
            <w:tcW w:w="4860" w:type="dxa"/>
            <w:vMerge/>
          </w:tcPr>
          <w:p w14:paraId="764DAD65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1D01EAF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  <w:t>Mirtazapine</w:t>
            </w:r>
          </w:p>
        </w:tc>
        <w:tc>
          <w:tcPr>
            <w:tcW w:w="1620" w:type="dxa"/>
          </w:tcPr>
          <w:p w14:paraId="6D9FAF2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102</w:t>
            </w:r>
          </w:p>
        </w:tc>
        <w:tc>
          <w:tcPr>
            <w:tcW w:w="1260" w:type="dxa"/>
          </w:tcPr>
          <w:p w14:paraId="220FC94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45</w:t>
            </w:r>
          </w:p>
        </w:tc>
        <w:tc>
          <w:tcPr>
            <w:tcW w:w="1440" w:type="dxa"/>
          </w:tcPr>
          <w:p w14:paraId="52A8AB2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12</w:t>
            </w:r>
          </w:p>
        </w:tc>
      </w:tr>
      <w:tr w:rsidR="00E744C4" w:rsidRPr="00CD4AD4" w14:paraId="458DD99F" w14:textId="77777777" w:rsidTr="00CD4AD4">
        <w:trPr>
          <w:trHeight w:val="720"/>
          <w:jc w:val="center"/>
        </w:trPr>
        <w:tc>
          <w:tcPr>
            <w:tcW w:w="3538" w:type="dxa"/>
          </w:tcPr>
          <w:p w14:paraId="242E1A8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Frölich et al., 2011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27</w:t>
            </w:r>
          </w:p>
        </w:tc>
        <w:tc>
          <w:tcPr>
            <w:tcW w:w="4860" w:type="dxa"/>
          </w:tcPr>
          <w:p w14:paraId="17BC519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CNS-specific NNR agonist</w:t>
            </w:r>
          </w:p>
        </w:tc>
        <w:tc>
          <w:tcPr>
            <w:tcW w:w="3642" w:type="dxa"/>
          </w:tcPr>
          <w:p w14:paraId="2E9399B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AZD3480</w:t>
            </w:r>
          </w:p>
        </w:tc>
        <w:tc>
          <w:tcPr>
            <w:tcW w:w="1620" w:type="dxa"/>
          </w:tcPr>
          <w:p w14:paraId="6F7D360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244</w:t>
            </w:r>
          </w:p>
        </w:tc>
        <w:tc>
          <w:tcPr>
            <w:tcW w:w="1260" w:type="dxa"/>
          </w:tcPr>
          <w:p w14:paraId="318FADD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100</w:t>
            </w:r>
          </w:p>
        </w:tc>
        <w:tc>
          <w:tcPr>
            <w:tcW w:w="1440" w:type="dxa"/>
          </w:tcPr>
          <w:p w14:paraId="700D33E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12</w:t>
            </w:r>
          </w:p>
        </w:tc>
      </w:tr>
      <w:tr w:rsidR="00E744C4" w:rsidRPr="00CD4AD4" w14:paraId="073CB472" w14:textId="77777777" w:rsidTr="00CD4AD4">
        <w:trPr>
          <w:trHeight w:val="58"/>
          <w:jc w:val="center"/>
        </w:trPr>
        <w:tc>
          <w:tcPr>
            <w:tcW w:w="3538" w:type="dxa"/>
          </w:tcPr>
          <w:p w14:paraId="6DE2906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lastRenderedPageBreak/>
              <w:t>Scheltens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2018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28</w:t>
            </w:r>
          </w:p>
        </w:tc>
        <w:tc>
          <w:tcPr>
            <w:tcW w:w="4860" w:type="dxa"/>
          </w:tcPr>
          <w:p w14:paraId="27CA07D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glutaminyl cyclase inhibitor</w:t>
            </w:r>
          </w:p>
        </w:tc>
        <w:tc>
          <w:tcPr>
            <w:tcW w:w="3642" w:type="dxa"/>
          </w:tcPr>
          <w:p w14:paraId="0C9AE5D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PQ912</w:t>
            </w:r>
          </w:p>
        </w:tc>
        <w:tc>
          <w:tcPr>
            <w:tcW w:w="1620" w:type="dxa"/>
          </w:tcPr>
          <w:p w14:paraId="2D6F7DA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80</w:t>
            </w:r>
          </w:p>
        </w:tc>
        <w:tc>
          <w:tcPr>
            <w:tcW w:w="1260" w:type="dxa"/>
          </w:tcPr>
          <w:p w14:paraId="2934841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800</w:t>
            </w:r>
          </w:p>
        </w:tc>
        <w:tc>
          <w:tcPr>
            <w:tcW w:w="1440" w:type="dxa"/>
          </w:tcPr>
          <w:p w14:paraId="5EBCACC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12</w:t>
            </w:r>
          </w:p>
        </w:tc>
      </w:tr>
      <w:tr w:rsidR="00E744C4" w:rsidRPr="00CD4AD4" w14:paraId="1DD1C4AB" w14:textId="77777777" w:rsidTr="00CD4AD4">
        <w:trPr>
          <w:trHeight w:val="58"/>
          <w:jc w:val="center"/>
        </w:trPr>
        <w:tc>
          <w:tcPr>
            <w:tcW w:w="3538" w:type="dxa"/>
          </w:tcPr>
          <w:p w14:paraId="3EE339B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Craft et al., 2012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29</w:t>
            </w:r>
          </w:p>
        </w:tc>
        <w:tc>
          <w:tcPr>
            <w:tcW w:w="4860" w:type="dxa"/>
            <w:vMerge w:val="restart"/>
          </w:tcPr>
          <w:p w14:paraId="2E29826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Hormones</w:t>
            </w:r>
          </w:p>
        </w:tc>
        <w:tc>
          <w:tcPr>
            <w:tcW w:w="3642" w:type="dxa"/>
          </w:tcPr>
          <w:p w14:paraId="097BDB3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Insulin</w:t>
            </w:r>
          </w:p>
        </w:tc>
        <w:tc>
          <w:tcPr>
            <w:tcW w:w="1620" w:type="dxa"/>
          </w:tcPr>
          <w:p w14:paraId="6F94CEB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74</w:t>
            </w:r>
          </w:p>
        </w:tc>
        <w:tc>
          <w:tcPr>
            <w:tcW w:w="1260" w:type="dxa"/>
          </w:tcPr>
          <w:p w14:paraId="3ACB8CF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40</w:t>
            </w:r>
          </w:p>
        </w:tc>
        <w:tc>
          <w:tcPr>
            <w:tcW w:w="1440" w:type="dxa"/>
          </w:tcPr>
          <w:p w14:paraId="2DEAA53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16</w:t>
            </w:r>
          </w:p>
        </w:tc>
      </w:tr>
      <w:tr w:rsidR="00E744C4" w:rsidRPr="00CD4AD4" w14:paraId="6B5122DA" w14:textId="77777777" w:rsidTr="00CD4AD4">
        <w:trPr>
          <w:trHeight w:val="58"/>
          <w:jc w:val="center"/>
        </w:trPr>
        <w:tc>
          <w:tcPr>
            <w:tcW w:w="3538" w:type="dxa"/>
          </w:tcPr>
          <w:p w14:paraId="13728DB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Mulnard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2000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30</w:t>
            </w:r>
          </w:p>
        </w:tc>
        <w:tc>
          <w:tcPr>
            <w:tcW w:w="4860" w:type="dxa"/>
            <w:vMerge/>
          </w:tcPr>
          <w:p w14:paraId="2CB47FA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2391E40A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  <w:t>Estrogen</w:t>
            </w:r>
          </w:p>
        </w:tc>
        <w:tc>
          <w:tcPr>
            <w:tcW w:w="1620" w:type="dxa"/>
          </w:tcPr>
          <w:p w14:paraId="2EE61A3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81</w:t>
            </w:r>
          </w:p>
        </w:tc>
        <w:tc>
          <w:tcPr>
            <w:tcW w:w="1260" w:type="dxa"/>
          </w:tcPr>
          <w:p w14:paraId="4C888DD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1.25</w:t>
            </w:r>
          </w:p>
        </w:tc>
        <w:tc>
          <w:tcPr>
            <w:tcW w:w="1440" w:type="dxa"/>
          </w:tcPr>
          <w:p w14:paraId="2DB747F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52</w:t>
            </w:r>
          </w:p>
        </w:tc>
      </w:tr>
      <w:tr w:rsidR="00E744C4" w:rsidRPr="00CD4AD4" w14:paraId="4B4DF7B3" w14:textId="77777777" w:rsidTr="00CD4AD4">
        <w:trPr>
          <w:trHeight w:val="58"/>
          <w:jc w:val="center"/>
        </w:trPr>
        <w:tc>
          <w:tcPr>
            <w:tcW w:w="3538" w:type="dxa"/>
          </w:tcPr>
          <w:p w14:paraId="22B2E7A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Teng et al., 2022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31</w:t>
            </w:r>
          </w:p>
        </w:tc>
        <w:tc>
          <w:tcPr>
            <w:tcW w:w="4860" w:type="dxa"/>
            <w:vMerge w:val="restart"/>
          </w:tcPr>
          <w:p w14:paraId="446DBF3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humanized IgG4 monoclonal an-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br/>
            </w: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tibody</w:t>
            </w:r>
            <w:proofErr w:type="spellEnd"/>
          </w:p>
        </w:tc>
        <w:tc>
          <w:tcPr>
            <w:tcW w:w="3642" w:type="dxa"/>
            <w:noWrap/>
          </w:tcPr>
          <w:p w14:paraId="414DA11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  <w:t>Semorinemab</w:t>
            </w:r>
            <w:proofErr w:type="spellEnd"/>
          </w:p>
        </w:tc>
        <w:tc>
          <w:tcPr>
            <w:tcW w:w="1620" w:type="dxa"/>
          </w:tcPr>
          <w:p w14:paraId="5A2A79E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311</w:t>
            </w:r>
          </w:p>
        </w:tc>
        <w:tc>
          <w:tcPr>
            <w:tcW w:w="1260" w:type="dxa"/>
            <w:noWrap/>
          </w:tcPr>
          <w:p w14:paraId="2A9263E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  <w:t>8100</w:t>
            </w:r>
          </w:p>
        </w:tc>
        <w:tc>
          <w:tcPr>
            <w:tcW w:w="1440" w:type="dxa"/>
          </w:tcPr>
          <w:p w14:paraId="4D0EC95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73</w:t>
            </w:r>
          </w:p>
        </w:tc>
      </w:tr>
      <w:tr w:rsidR="00E744C4" w:rsidRPr="00CD4AD4" w14:paraId="24F3EE9C" w14:textId="77777777" w:rsidTr="00CD4AD4">
        <w:trPr>
          <w:trHeight w:val="58"/>
          <w:jc w:val="center"/>
        </w:trPr>
        <w:tc>
          <w:tcPr>
            <w:tcW w:w="3538" w:type="dxa"/>
          </w:tcPr>
          <w:p w14:paraId="09246E9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Ostrowitzki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2022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32</w:t>
            </w:r>
          </w:p>
        </w:tc>
        <w:tc>
          <w:tcPr>
            <w:tcW w:w="4860" w:type="dxa"/>
            <w:vMerge/>
          </w:tcPr>
          <w:p w14:paraId="55B435A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7D7C3A5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Crenezumab</w:t>
            </w:r>
            <w:proofErr w:type="spellEnd"/>
          </w:p>
        </w:tc>
        <w:tc>
          <w:tcPr>
            <w:tcW w:w="1620" w:type="dxa"/>
          </w:tcPr>
          <w:p w14:paraId="21D6E53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811</w:t>
            </w:r>
          </w:p>
        </w:tc>
        <w:tc>
          <w:tcPr>
            <w:tcW w:w="1260" w:type="dxa"/>
          </w:tcPr>
          <w:p w14:paraId="4C23244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60</w:t>
            </w:r>
          </w:p>
        </w:tc>
        <w:tc>
          <w:tcPr>
            <w:tcW w:w="1440" w:type="dxa"/>
          </w:tcPr>
          <w:p w14:paraId="7B346AD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100</w:t>
            </w:r>
          </w:p>
        </w:tc>
      </w:tr>
      <w:tr w:rsidR="00E744C4" w:rsidRPr="00CD4AD4" w14:paraId="49300FCD" w14:textId="77777777" w:rsidTr="00CD4AD4">
        <w:trPr>
          <w:trHeight w:val="58"/>
          <w:jc w:val="center"/>
        </w:trPr>
        <w:tc>
          <w:tcPr>
            <w:tcW w:w="3538" w:type="dxa"/>
          </w:tcPr>
          <w:p w14:paraId="3D15A02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Dodel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2013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33</w:t>
            </w:r>
          </w:p>
        </w:tc>
        <w:tc>
          <w:tcPr>
            <w:tcW w:w="4860" w:type="dxa"/>
            <w:vMerge/>
          </w:tcPr>
          <w:p w14:paraId="01AEBF75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27F3AE9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Octagam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® 10</w:t>
            </w:r>
          </w:p>
        </w:tc>
        <w:tc>
          <w:tcPr>
            <w:tcW w:w="1620" w:type="dxa"/>
          </w:tcPr>
          <w:p w14:paraId="4A7CB9F5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40</w:t>
            </w:r>
          </w:p>
        </w:tc>
        <w:tc>
          <w:tcPr>
            <w:tcW w:w="1260" w:type="dxa"/>
          </w:tcPr>
          <w:p w14:paraId="2DF6CF3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0.8</w:t>
            </w:r>
          </w:p>
        </w:tc>
        <w:tc>
          <w:tcPr>
            <w:tcW w:w="1440" w:type="dxa"/>
          </w:tcPr>
          <w:p w14:paraId="707810F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</w:t>
            </w:r>
          </w:p>
        </w:tc>
      </w:tr>
      <w:tr w:rsidR="00E744C4" w:rsidRPr="00CD4AD4" w14:paraId="17D98708" w14:textId="77777777" w:rsidTr="00CD4AD4">
        <w:trPr>
          <w:trHeight w:val="141"/>
          <w:jc w:val="center"/>
        </w:trPr>
        <w:tc>
          <w:tcPr>
            <w:tcW w:w="3538" w:type="dxa"/>
          </w:tcPr>
          <w:p w14:paraId="53DB025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Wessels et al., 2020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34</w:t>
            </w:r>
          </w:p>
        </w:tc>
        <w:tc>
          <w:tcPr>
            <w:tcW w:w="4860" w:type="dxa"/>
          </w:tcPr>
          <w:p w14:paraId="13F4A4E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Human beta amyloid precursor protein–cleaving enzyme 1 Inhibitor</w:t>
            </w:r>
          </w:p>
        </w:tc>
        <w:tc>
          <w:tcPr>
            <w:tcW w:w="3642" w:type="dxa"/>
            <w:noWrap/>
          </w:tcPr>
          <w:p w14:paraId="2B673D1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  <w:t>Lanabecestat</w:t>
            </w:r>
            <w:proofErr w:type="spellEnd"/>
          </w:p>
        </w:tc>
        <w:tc>
          <w:tcPr>
            <w:tcW w:w="1620" w:type="dxa"/>
          </w:tcPr>
          <w:p w14:paraId="329E4E0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2638</w:t>
            </w:r>
          </w:p>
        </w:tc>
        <w:tc>
          <w:tcPr>
            <w:tcW w:w="1260" w:type="dxa"/>
          </w:tcPr>
          <w:p w14:paraId="7E252E3F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50</w:t>
            </w:r>
          </w:p>
        </w:tc>
        <w:tc>
          <w:tcPr>
            <w:tcW w:w="1440" w:type="dxa"/>
          </w:tcPr>
          <w:p w14:paraId="736C2BCF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104</w:t>
            </w:r>
          </w:p>
        </w:tc>
      </w:tr>
      <w:tr w:rsidR="00E744C4" w:rsidRPr="00CD4AD4" w14:paraId="361D4906" w14:textId="77777777" w:rsidTr="00CD4AD4">
        <w:trPr>
          <w:trHeight w:val="533"/>
          <w:jc w:val="center"/>
        </w:trPr>
        <w:tc>
          <w:tcPr>
            <w:tcW w:w="3538" w:type="dxa"/>
          </w:tcPr>
          <w:p w14:paraId="0F1E07D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Aisen et al., 2010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35</w:t>
            </w:r>
          </w:p>
        </w:tc>
        <w:tc>
          <w:tcPr>
            <w:tcW w:w="4860" w:type="dxa"/>
          </w:tcPr>
          <w:p w14:paraId="0E20677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Inhibitor of amyloid aggregation</w:t>
            </w:r>
          </w:p>
        </w:tc>
        <w:tc>
          <w:tcPr>
            <w:tcW w:w="3642" w:type="dxa"/>
          </w:tcPr>
          <w:p w14:paraId="0C2E8406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Tramiprosate</w:t>
            </w:r>
            <w:proofErr w:type="spellEnd"/>
          </w:p>
        </w:tc>
        <w:tc>
          <w:tcPr>
            <w:tcW w:w="1620" w:type="dxa"/>
          </w:tcPr>
          <w:p w14:paraId="6F8B7F5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699</w:t>
            </w:r>
          </w:p>
        </w:tc>
        <w:tc>
          <w:tcPr>
            <w:tcW w:w="1260" w:type="dxa"/>
          </w:tcPr>
          <w:p w14:paraId="55A1306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150</w:t>
            </w:r>
          </w:p>
        </w:tc>
        <w:tc>
          <w:tcPr>
            <w:tcW w:w="1440" w:type="dxa"/>
          </w:tcPr>
          <w:p w14:paraId="23CACCB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78</w:t>
            </w:r>
          </w:p>
        </w:tc>
      </w:tr>
      <w:tr w:rsidR="00E744C4" w:rsidRPr="00CD4AD4" w14:paraId="21245A5F" w14:textId="77777777" w:rsidTr="00CD4AD4">
        <w:trPr>
          <w:trHeight w:val="58"/>
          <w:jc w:val="center"/>
        </w:trPr>
        <w:tc>
          <w:tcPr>
            <w:tcW w:w="3538" w:type="dxa"/>
          </w:tcPr>
          <w:p w14:paraId="1C874745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Ayton et al., 2025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36</w:t>
            </w:r>
          </w:p>
        </w:tc>
        <w:tc>
          <w:tcPr>
            <w:tcW w:w="4860" w:type="dxa"/>
            <w:noWrap/>
          </w:tcPr>
          <w:p w14:paraId="0CC5DE9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  <w:t>Iron chelator</w:t>
            </w:r>
          </w:p>
        </w:tc>
        <w:tc>
          <w:tcPr>
            <w:tcW w:w="3642" w:type="dxa"/>
            <w:noWrap/>
          </w:tcPr>
          <w:p w14:paraId="1DF9D78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  <w:t>Deferiprone</w:t>
            </w:r>
          </w:p>
        </w:tc>
        <w:tc>
          <w:tcPr>
            <w:tcW w:w="1620" w:type="dxa"/>
          </w:tcPr>
          <w:p w14:paraId="14CDE2C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53</w:t>
            </w:r>
          </w:p>
        </w:tc>
        <w:tc>
          <w:tcPr>
            <w:tcW w:w="1260" w:type="dxa"/>
            <w:noWrap/>
          </w:tcPr>
          <w:p w14:paraId="3981E7D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333333"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1440" w:type="dxa"/>
          </w:tcPr>
          <w:p w14:paraId="47A85DD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52</w:t>
            </w:r>
          </w:p>
        </w:tc>
      </w:tr>
      <w:tr w:rsidR="00E744C4" w:rsidRPr="00CD4AD4" w14:paraId="75BA1B1A" w14:textId="77777777" w:rsidTr="00CD4AD4">
        <w:trPr>
          <w:trHeight w:val="386"/>
          <w:jc w:val="center"/>
        </w:trPr>
        <w:tc>
          <w:tcPr>
            <w:tcW w:w="3538" w:type="dxa"/>
          </w:tcPr>
          <w:p w14:paraId="0AABA58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Delnomdedieu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2016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37</w:t>
            </w:r>
          </w:p>
        </w:tc>
        <w:tc>
          <w:tcPr>
            <w:tcW w:w="4860" w:type="dxa"/>
            <w:vMerge w:val="restart"/>
          </w:tcPr>
          <w:p w14:paraId="75F9528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Monoclonal antibody</w:t>
            </w:r>
          </w:p>
        </w:tc>
        <w:tc>
          <w:tcPr>
            <w:tcW w:w="3642" w:type="dxa"/>
          </w:tcPr>
          <w:p w14:paraId="78DEF66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AAB-003</w:t>
            </w:r>
          </w:p>
        </w:tc>
        <w:tc>
          <w:tcPr>
            <w:tcW w:w="1620" w:type="dxa"/>
          </w:tcPr>
          <w:p w14:paraId="1C9EC71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60</w:t>
            </w:r>
          </w:p>
        </w:tc>
        <w:tc>
          <w:tcPr>
            <w:tcW w:w="1260" w:type="dxa"/>
          </w:tcPr>
          <w:p w14:paraId="1247E3A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8100</w:t>
            </w:r>
          </w:p>
        </w:tc>
        <w:tc>
          <w:tcPr>
            <w:tcW w:w="1440" w:type="dxa"/>
          </w:tcPr>
          <w:p w14:paraId="6AF5E0B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13</w:t>
            </w:r>
          </w:p>
        </w:tc>
      </w:tr>
      <w:tr w:rsidR="00E744C4" w:rsidRPr="00CD4AD4" w14:paraId="68E9EF6F" w14:textId="77777777" w:rsidTr="00CD4AD4">
        <w:trPr>
          <w:trHeight w:val="58"/>
          <w:jc w:val="center"/>
        </w:trPr>
        <w:tc>
          <w:tcPr>
            <w:tcW w:w="3538" w:type="dxa"/>
          </w:tcPr>
          <w:p w14:paraId="7FAE99D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Salloway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et al., 2014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38</w:t>
            </w:r>
          </w:p>
        </w:tc>
        <w:tc>
          <w:tcPr>
            <w:tcW w:w="4860" w:type="dxa"/>
            <w:vMerge/>
          </w:tcPr>
          <w:p w14:paraId="6850045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60C3BC4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Bapineuzumab</w:t>
            </w:r>
          </w:p>
        </w:tc>
        <w:tc>
          <w:tcPr>
            <w:tcW w:w="1620" w:type="dxa"/>
          </w:tcPr>
          <w:p w14:paraId="501B940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1480</w:t>
            </w:r>
          </w:p>
        </w:tc>
        <w:tc>
          <w:tcPr>
            <w:tcW w:w="1260" w:type="dxa"/>
          </w:tcPr>
          <w:p w14:paraId="4D0A203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</w:t>
            </w:r>
          </w:p>
        </w:tc>
        <w:tc>
          <w:tcPr>
            <w:tcW w:w="1440" w:type="dxa"/>
          </w:tcPr>
          <w:p w14:paraId="1882B1C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78</w:t>
            </w:r>
          </w:p>
        </w:tc>
      </w:tr>
      <w:tr w:rsidR="00E744C4" w:rsidRPr="00CD4AD4" w14:paraId="4A97B13D" w14:textId="77777777" w:rsidTr="00CD4AD4">
        <w:trPr>
          <w:trHeight w:val="58"/>
          <w:jc w:val="center"/>
        </w:trPr>
        <w:tc>
          <w:tcPr>
            <w:tcW w:w="3538" w:type="dxa"/>
          </w:tcPr>
          <w:p w14:paraId="7193699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Doody et al., 2014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39</w:t>
            </w:r>
          </w:p>
        </w:tc>
        <w:tc>
          <w:tcPr>
            <w:tcW w:w="4860" w:type="dxa"/>
            <w:vMerge/>
          </w:tcPr>
          <w:p w14:paraId="3F47824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</w:p>
        </w:tc>
        <w:tc>
          <w:tcPr>
            <w:tcW w:w="3642" w:type="dxa"/>
          </w:tcPr>
          <w:p w14:paraId="355DBA55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Solanezumab</w:t>
            </w:r>
          </w:p>
        </w:tc>
        <w:tc>
          <w:tcPr>
            <w:tcW w:w="1620" w:type="dxa"/>
          </w:tcPr>
          <w:p w14:paraId="67C20ED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1027</w:t>
            </w:r>
          </w:p>
        </w:tc>
        <w:tc>
          <w:tcPr>
            <w:tcW w:w="1260" w:type="dxa"/>
          </w:tcPr>
          <w:p w14:paraId="1AC1392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41413"/>
                <w:sz w:val="24"/>
                <w:szCs w:val="24"/>
                <w:lang w:eastAsia="zh-CN" w:bidi="ar-SA"/>
              </w:rPr>
              <w:t>400</w:t>
            </w:r>
          </w:p>
        </w:tc>
        <w:tc>
          <w:tcPr>
            <w:tcW w:w="1440" w:type="dxa"/>
          </w:tcPr>
          <w:p w14:paraId="01B9A91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72</w:t>
            </w:r>
          </w:p>
        </w:tc>
      </w:tr>
      <w:tr w:rsidR="00E744C4" w:rsidRPr="00CD4AD4" w14:paraId="4828C33F" w14:textId="77777777" w:rsidTr="00CD4AD4">
        <w:trPr>
          <w:trHeight w:val="58"/>
          <w:jc w:val="center"/>
        </w:trPr>
        <w:tc>
          <w:tcPr>
            <w:tcW w:w="3538" w:type="dxa"/>
          </w:tcPr>
          <w:p w14:paraId="3877569E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Novak et al., 2020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40</w:t>
            </w:r>
          </w:p>
        </w:tc>
        <w:tc>
          <w:tcPr>
            <w:tcW w:w="4860" w:type="dxa"/>
          </w:tcPr>
          <w:p w14:paraId="5542B3A1" w14:textId="70C64A39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Oral</w:t>
            </w:r>
            <w:r w:rsid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BACE1</w:t>
            </w:r>
            <w:r w:rsid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in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hibitor</w:t>
            </w:r>
          </w:p>
        </w:tc>
        <w:tc>
          <w:tcPr>
            <w:tcW w:w="3642" w:type="dxa"/>
          </w:tcPr>
          <w:p w14:paraId="7AF2053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0101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101010"/>
                <w:sz w:val="24"/>
                <w:szCs w:val="24"/>
                <w:lang w:eastAsia="zh-CN" w:bidi="ar-SA"/>
              </w:rPr>
              <w:t>Atabecestat</w:t>
            </w:r>
            <w:proofErr w:type="spellEnd"/>
          </w:p>
        </w:tc>
        <w:tc>
          <w:tcPr>
            <w:tcW w:w="1620" w:type="dxa"/>
          </w:tcPr>
          <w:p w14:paraId="31BF3E7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75</w:t>
            </w:r>
          </w:p>
        </w:tc>
        <w:tc>
          <w:tcPr>
            <w:tcW w:w="1260" w:type="dxa"/>
          </w:tcPr>
          <w:p w14:paraId="10CC1E4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10101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101010"/>
                <w:sz w:val="24"/>
                <w:szCs w:val="24"/>
                <w:lang w:eastAsia="zh-CN" w:bidi="ar-SA"/>
              </w:rPr>
              <w:t>50</w:t>
            </w:r>
          </w:p>
        </w:tc>
        <w:tc>
          <w:tcPr>
            <w:tcW w:w="1440" w:type="dxa"/>
          </w:tcPr>
          <w:p w14:paraId="01B2EC8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24</w:t>
            </w:r>
          </w:p>
        </w:tc>
      </w:tr>
      <w:tr w:rsidR="00E744C4" w:rsidRPr="00CD4AD4" w14:paraId="7988AA7E" w14:textId="77777777" w:rsidTr="00CD4AD4">
        <w:trPr>
          <w:trHeight w:val="387"/>
          <w:jc w:val="center"/>
        </w:trPr>
        <w:tc>
          <w:tcPr>
            <w:tcW w:w="3538" w:type="dxa"/>
          </w:tcPr>
          <w:p w14:paraId="5ED7175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Geldmacher DS et al., 2011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41</w:t>
            </w:r>
          </w:p>
        </w:tc>
        <w:tc>
          <w:tcPr>
            <w:tcW w:w="4860" w:type="dxa"/>
          </w:tcPr>
          <w:p w14:paraId="7CA63738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proofErr w:type="spellStart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PPARγ</w:t>
            </w:r>
            <w:proofErr w:type="spellEnd"/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 xml:space="preserve"> agonist</w:t>
            </w:r>
          </w:p>
        </w:tc>
        <w:tc>
          <w:tcPr>
            <w:tcW w:w="3642" w:type="dxa"/>
          </w:tcPr>
          <w:p w14:paraId="0FA15369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Pioglitazone</w:t>
            </w:r>
          </w:p>
        </w:tc>
        <w:tc>
          <w:tcPr>
            <w:tcW w:w="1620" w:type="dxa"/>
          </w:tcPr>
          <w:p w14:paraId="3B09A48F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29</w:t>
            </w:r>
          </w:p>
        </w:tc>
        <w:tc>
          <w:tcPr>
            <w:tcW w:w="1260" w:type="dxa"/>
          </w:tcPr>
          <w:p w14:paraId="7BFACB6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45</w:t>
            </w:r>
          </w:p>
        </w:tc>
        <w:tc>
          <w:tcPr>
            <w:tcW w:w="1440" w:type="dxa"/>
          </w:tcPr>
          <w:p w14:paraId="5F592260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72</w:t>
            </w:r>
          </w:p>
        </w:tc>
      </w:tr>
      <w:tr w:rsidR="00E744C4" w:rsidRPr="00CD4AD4" w14:paraId="1C1DDCEF" w14:textId="77777777" w:rsidTr="00CD4AD4">
        <w:trPr>
          <w:trHeight w:val="267"/>
          <w:jc w:val="center"/>
        </w:trPr>
        <w:tc>
          <w:tcPr>
            <w:tcW w:w="3538" w:type="dxa"/>
          </w:tcPr>
          <w:p w14:paraId="0B019A0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Wilcock GK et al., 2008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42</w:t>
            </w:r>
          </w:p>
        </w:tc>
        <w:tc>
          <w:tcPr>
            <w:tcW w:w="4860" w:type="dxa"/>
          </w:tcPr>
          <w:p w14:paraId="577E30D7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Selective Aβ42-lowering agent</w:t>
            </w:r>
          </w:p>
        </w:tc>
        <w:tc>
          <w:tcPr>
            <w:tcW w:w="3642" w:type="dxa"/>
          </w:tcPr>
          <w:p w14:paraId="1F249A7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Tarenflurbil</w:t>
            </w:r>
          </w:p>
        </w:tc>
        <w:tc>
          <w:tcPr>
            <w:tcW w:w="1620" w:type="dxa"/>
          </w:tcPr>
          <w:p w14:paraId="5A45E84C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139</w:t>
            </w:r>
          </w:p>
        </w:tc>
        <w:tc>
          <w:tcPr>
            <w:tcW w:w="1260" w:type="dxa"/>
          </w:tcPr>
          <w:p w14:paraId="46ED8021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800</w:t>
            </w:r>
          </w:p>
        </w:tc>
        <w:tc>
          <w:tcPr>
            <w:tcW w:w="1440" w:type="dxa"/>
          </w:tcPr>
          <w:p w14:paraId="205947A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52</w:t>
            </w:r>
          </w:p>
        </w:tc>
      </w:tr>
      <w:tr w:rsidR="00E744C4" w:rsidRPr="00CD4AD4" w14:paraId="55E22004" w14:textId="77777777" w:rsidTr="00CD4AD4">
        <w:trPr>
          <w:trHeight w:val="58"/>
          <w:jc w:val="center"/>
        </w:trPr>
        <w:tc>
          <w:tcPr>
            <w:tcW w:w="3538" w:type="dxa"/>
          </w:tcPr>
          <w:p w14:paraId="40B17073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Nappi G et al., 1997</w:t>
            </w: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vertAlign w:val="superscript"/>
                <w:lang w:eastAsia="zh-CN" w:bidi="ar-SA"/>
              </w:rPr>
              <w:t>43</w:t>
            </w:r>
          </w:p>
        </w:tc>
        <w:tc>
          <w:tcPr>
            <w:tcW w:w="4860" w:type="dxa"/>
          </w:tcPr>
          <w:p w14:paraId="7233CB62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Vasodilator</w:t>
            </w:r>
          </w:p>
        </w:tc>
        <w:tc>
          <w:tcPr>
            <w:tcW w:w="3642" w:type="dxa"/>
          </w:tcPr>
          <w:p w14:paraId="480E661D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Nicergoline</w:t>
            </w:r>
          </w:p>
        </w:tc>
        <w:tc>
          <w:tcPr>
            <w:tcW w:w="1620" w:type="dxa"/>
          </w:tcPr>
          <w:p w14:paraId="6B703595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54</w:t>
            </w:r>
          </w:p>
        </w:tc>
        <w:tc>
          <w:tcPr>
            <w:tcW w:w="1260" w:type="dxa"/>
          </w:tcPr>
          <w:p w14:paraId="4AC4872B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30</w:t>
            </w:r>
          </w:p>
        </w:tc>
        <w:tc>
          <w:tcPr>
            <w:tcW w:w="1440" w:type="dxa"/>
          </w:tcPr>
          <w:p w14:paraId="70826824" w14:textId="77777777" w:rsidR="00E744C4" w:rsidRPr="00CD4AD4" w:rsidRDefault="00E744C4" w:rsidP="00CD4AD4">
            <w:pPr>
              <w:spacing w:line="360" w:lineRule="auto"/>
              <w:jc w:val="both"/>
              <w:textAlignment w:val="center"/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</w:pPr>
            <w:r w:rsidRPr="00CD4AD4">
              <w:rPr>
                <w:rFonts w:ascii="Arial" w:eastAsia="Times New Roman Regular" w:hAnsi="Arial" w:cs="Arial"/>
                <w:color w:val="000000"/>
                <w:sz w:val="24"/>
                <w:szCs w:val="24"/>
                <w:lang w:eastAsia="zh-CN" w:bidi="ar-SA"/>
              </w:rPr>
              <w:t>52</w:t>
            </w:r>
          </w:p>
        </w:tc>
      </w:tr>
    </w:tbl>
    <w:p w14:paraId="5EF32BDE" w14:textId="77777777" w:rsidR="00E744C4" w:rsidRDefault="00E744C4" w:rsidP="00CD4A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C29F5D3" w14:textId="77777777" w:rsidR="00CD4AD4" w:rsidRDefault="00CD4AD4" w:rsidP="00CD4A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FBF8F71" w14:textId="77777777" w:rsidR="00CD4AD4" w:rsidRDefault="00CD4AD4" w:rsidP="00CD4A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340BBE" w14:textId="77777777" w:rsidR="00CD4AD4" w:rsidRPr="00CD4AD4" w:rsidRDefault="00CD4AD4" w:rsidP="00CD4AD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18F9EC1" w14:textId="14008D8B" w:rsidR="00E744C4" w:rsidRPr="00CD4AD4" w:rsidRDefault="00E744C4" w:rsidP="00CD4AD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4AD4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AE13B4" w:rsidRPr="00CD4AD4">
        <w:rPr>
          <w:rFonts w:ascii="Arial" w:hAnsi="Arial" w:cs="Arial"/>
          <w:b/>
          <w:bCs/>
          <w:sz w:val="24"/>
          <w:szCs w:val="24"/>
        </w:rPr>
        <w:t>S2</w:t>
      </w:r>
      <w:r w:rsidRPr="00CD4AD4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D4AD4">
        <w:rPr>
          <w:rFonts w:ascii="Arial" w:hAnsi="Arial" w:cs="Arial"/>
          <w:sz w:val="24"/>
          <w:szCs w:val="24"/>
        </w:rPr>
        <w:t>ADR Data of drugs across all the drug classes</w:t>
      </w:r>
    </w:p>
    <w:tbl>
      <w:tblPr>
        <w:tblStyle w:val="Tabelacomgrade"/>
        <w:tblW w:w="16380" w:type="dxa"/>
        <w:jc w:val="center"/>
        <w:tblLayout w:type="fixed"/>
        <w:tblLook w:val="04A0" w:firstRow="1" w:lastRow="0" w:firstColumn="1" w:lastColumn="0" w:noHBand="0" w:noVBand="1"/>
      </w:tblPr>
      <w:tblGrid>
        <w:gridCol w:w="2375"/>
        <w:gridCol w:w="2076"/>
        <w:gridCol w:w="4549"/>
        <w:gridCol w:w="2412"/>
        <w:gridCol w:w="2340"/>
        <w:gridCol w:w="2628"/>
      </w:tblGrid>
      <w:tr w:rsidR="00E744C4" w:rsidRPr="00CD4AD4" w14:paraId="521C23F3" w14:textId="77777777" w:rsidTr="00CD4AD4">
        <w:trPr>
          <w:trHeight w:val="124"/>
          <w:jc w:val="center"/>
        </w:trPr>
        <w:tc>
          <w:tcPr>
            <w:tcW w:w="2375" w:type="dxa"/>
          </w:tcPr>
          <w:p w14:paraId="6DCA0D3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</w:rPr>
              <w:t>Study</w:t>
            </w:r>
          </w:p>
        </w:tc>
        <w:tc>
          <w:tcPr>
            <w:tcW w:w="2076" w:type="dxa"/>
          </w:tcPr>
          <w:p w14:paraId="7B6A765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</w:rPr>
              <w:t>Drug Name</w:t>
            </w:r>
          </w:p>
        </w:tc>
        <w:tc>
          <w:tcPr>
            <w:tcW w:w="4549" w:type="dxa"/>
          </w:tcPr>
          <w:p w14:paraId="3E4A9C4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</w:rPr>
              <w:t>ADR Type</w:t>
            </w:r>
          </w:p>
        </w:tc>
        <w:tc>
          <w:tcPr>
            <w:tcW w:w="2412" w:type="dxa"/>
          </w:tcPr>
          <w:p w14:paraId="4F5A444E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</w:rPr>
              <w:t>Incidence Rate (%)</w:t>
            </w:r>
          </w:p>
        </w:tc>
        <w:tc>
          <w:tcPr>
            <w:tcW w:w="2340" w:type="dxa"/>
          </w:tcPr>
          <w:p w14:paraId="54FB4F7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</w:rPr>
              <w:t>ADR Count (Test)</w:t>
            </w:r>
          </w:p>
        </w:tc>
        <w:tc>
          <w:tcPr>
            <w:tcW w:w="2628" w:type="dxa"/>
          </w:tcPr>
          <w:p w14:paraId="4825182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b/>
                <w:bCs/>
                <w:color w:val="000000"/>
                <w:sz w:val="24"/>
                <w:szCs w:val="24"/>
              </w:rPr>
              <w:t>ADR Count (Control)</w:t>
            </w:r>
          </w:p>
        </w:tc>
      </w:tr>
      <w:tr w:rsidR="00E744C4" w:rsidRPr="00CD4AD4" w14:paraId="07BAEA79" w14:textId="77777777" w:rsidTr="00CD4AD4">
        <w:trPr>
          <w:trHeight w:val="64"/>
          <w:jc w:val="center"/>
        </w:trPr>
        <w:tc>
          <w:tcPr>
            <w:tcW w:w="2375" w:type="dxa"/>
          </w:tcPr>
          <w:p w14:paraId="1C9BF95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Aisen et al., 2010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2076" w:type="dxa"/>
          </w:tcPr>
          <w:p w14:paraId="26B882A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Tramiprosate</w:t>
            </w:r>
            <w:proofErr w:type="spellEnd"/>
          </w:p>
        </w:tc>
        <w:tc>
          <w:tcPr>
            <w:tcW w:w="4549" w:type="dxa"/>
          </w:tcPr>
          <w:p w14:paraId="0F79F00E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Cardiac arrest, CHF, pneumonia</w:t>
            </w:r>
          </w:p>
        </w:tc>
        <w:tc>
          <w:tcPr>
            <w:tcW w:w="2412" w:type="dxa"/>
          </w:tcPr>
          <w:p w14:paraId="53FB0E5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14:paraId="6161335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28" w:type="dxa"/>
          </w:tcPr>
          <w:p w14:paraId="68FB320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26</w:t>
            </w:r>
          </w:p>
        </w:tc>
      </w:tr>
      <w:tr w:rsidR="00E744C4" w:rsidRPr="00CD4AD4" w14:paraId="3C5AF85B" w14:textId="77777777" w:rsidTr="00CD4AD4">
        <w:trPr>
          <w:trHeight w:val="170"/>
          <w:jc w:val="center"/>
        </w:trPr>
        <w:tc>
          <w:tcPr>
            <w:tcW w:w="2375" w:type="dxa"/>
          </w:tcPr>
          <w:p w14:paraId="28C1D2B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Ayton et al., 2025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36</w:t>
            </w:r>
          </w:p>
        </w:tc>
        <w:tc>
          <w:tcPr>
            <w:tcW w:w="2076" w:type="dxa"/>
          </w:tcPr>
          <w:p w14:paraId="2EBD772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Deferiprone</w:t>
            </w:r>
          </w:p>
        </w:tc>
        <w:tc>
          <w:tcPr>
            <w:tcW w:w="4549" w:type="dxa"/>
          </w:tcPr>
          <w:p w14:paraId="359096E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Neutropenia</w:t>
            </w:r>
          </w:p>
        </w:tc>
        <w:tc>
          <w:tcPr>
            <w:tcW w:w="2412" w:type="dxa"/>
          </w:tcPr>
          <w:p w14:paraId="06FA6BF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340" w:type="dxa"/>
          </w:tcPr>
          <w:p w14:paraId="500DD91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8" w:type="dxa"/>
          </w:tcPr>
          <w:p w14:paraId="3E4D73A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E744C4" w:rsidRPr="00CD4AD4" w14:paraId="3C6F314D" w14:textId="77777777" w:rsidTr="00CD4AD4">
        <w:trPr>
          <w:trHeight w:val="469"/>
          <w:jc w:val="center"/>
        </w:trPr>
        <w:tc>
          <w:tcPr>
            <w:tcW w:w="2375" w:type="dxa"/>
          </w:tcPr>
          <w:p w14:paraId="08F68C5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Banerjee et al., 2023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26</w:t>
            </w:r>
          </w:p>
        </w:tc>
        <w:tc>
          <w:tcPr>
            <w:tcW w:w="2076" w:type="dxa"/>
          </w:tcPr>
          <w:p w14:paraId="75735BF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Mirtazapine</w:t>
            </w:r>
          </w:p>
        </w:tc>
        <w:tc>
          <w:tcPr>
            <w:tcW w:w="4549" w:type="dxa"/>
          </w:tcPr>
          <w:p w14:paraId="659C1BE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Pneumonia, cardiac arrest, CKD, and fractures</w:t>
            </w:r>
          </w:p>
        </w:tc>
        <w:tc>
          <w:tcPr>
            <w:tcW w:w="2412" w:type="dxa"/>
          </w:tcPr>
          <w:p w14:paraId="30E81D0E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40" w:type="dxa"/>
          </w:tcPr>
          <w:p w14:paraId="53AF604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628" w:type="dxa"/>
          </w:tcPr>
          <w:p w14:paraId="0A0D547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192</w:t>
            </w:r>
          </w:p>
        </w:tc>
      </w:tr>
      <w:tr w:rsidR="00E744C4" w:rsidRPr="00CD4AD4" w14:paraId="167FD3FA" w14:textId="77777777" w:rsidTr="00CD4AD4">
        <w:trPr>
          <w:trHeight w:val="680"/>
          <w:jc w:val="center"/>
        </w:trPr>
        <w:tc>
          <w:tcPr>
            <w:tcW w:w="2375" w:type="dxa"/>
          </w:tcPr>
          <w:p w14:paraId="10C3346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Banerjee et al., 2023a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2076" w:type="dxa"/>
          </w:tcPr>
          <w:p w14:paraId="2BBE670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Carbamazepine</w:t>
            </w:r>
          </w:p>
        </w:tc>
        <w:tc>
          <w:tcPr>
            <w:tcW w:w="4549" w:type="dxa"/>
          </w:tcPr>
          <w:p w14:paraId="42834AF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Gastric hemorrhage</w:t>
            </w:r>
          </w:p>
        </w:tc>
        <w:tc>
          <w:tcPr>
            <w:tcW w:w="2412" w:type="dxa"/>
          </w:tcPr>
          <w:p w14:paraId="41DEB96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40" w:type="dxa"/>
          </w:tcPr>
          <w:p w14:paraId="187B3A3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28" w:type="dxa"/>
          </w:tcPr>
          <w:p w14:paraId="4A75711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192</w:t>
            </w:r>
          </w:p>
        </w:tc>
      </w:tr>
      <w:tr w:rsidR="00E744C4" w:rsidRPr="00CD4AD4" w14:paraId="17D8277E" w14:textId="77777777" w:rsidTr="00CD4AD4">
        <w:trPr>
          <w:trHeight w:val="409"/>
          <w:jc w:val="center"/>
        </w:trPr>
        <w:tc>
          <w:tcPr>
            <w:tcW w:w="2375" w:type="dxa"/>
          </w:tcPr>
          <w:p w14:paraId="40F3CAC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Burns A et al., 2009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2076" w:type="dxa"/>
          </w:tcPr>
          <w:p w14:paraId="63B70D8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Galantamine</w:t>
            </w:r>
          </w:p>
        </w:tc>
        <w:tc>
          <w:tcPr>
            <w:tcW w:w="4549" w:type="dxa"/>
          </w:tcPr>
          <w:p w14:paraId="008F011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Mild to moderate adverse events</w:t>
            </w:r>
          </w:p>
        </w:tc>
        <w:tc>
          <w:tcPr>
            <w:tcW w:w="2412" w:type="dxa"/>
          </w:tcPr>
          <w:p w14:paraId="0928707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340" w:type="dxa"/>
          </w:tcPr>
          <w:p w14:paraId="6F6E90A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628" w:type="dxa"/>
          </w:tcPr>
          <w:p w14:paraId="7FAFD70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177</w:t>
            </w:r>
          </w:p>
        </w:tc>
      </w:tr>
      <w:tr w:rsidR="00E744C4" w:rsidRPr="00CD4AD4" w14:paraId="7E2EFC36" w14:textId="77777777" w:rsidTr="00CD4AD4">
        <w:trPr>
          <w:trHeight w:val="109"/>
          <w:jc w:val="center"/>
        </w:trPr>
        <w:tc>
          <w:tcPr>
            <w:tcW w:w="2375" w:type="dxa"/>
          </w:tcPr>
          <w:p w14:paraId="5A6FD66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Craft et al., 2012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29</w:t>
            </w:r>
          </w:p>
        </w:tc>
        <w:tc>
          <w:tcPr>
            <w:tcW w:w="2076" w:type="dxa"/>
          </w:tcPr>
          <w:p w14:paraId="0F8202A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Insulin</w:t>
            </w:r>
          </w:p>
        </w:tc>
        <w:tc>
          <w:tcPr>
            <w:tcW w:w="4549" w:type="dxa"/>
          </w:tcPr>
          <w:p w14:paraId="09AC2EC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Mild rhinitis</w:t>
            </w:r>
          </w:p>
        </w:tc>
        <w:tc>
          <w:tcPr>
            <w:tcW w:w="2412" w:type="dxa"/>
          </w:tcPr>
          <w:p w14:paraId="2D8AB8D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14:paraId="3DE3082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628" w:type="dxa"/>
          </w:tcPr>
          <w:p w14:paraId="49BD4C9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27</w:t>
            </w:r>
          </w:p>
        </w:tc>
      </w:tr>
      <w:tr w:rsidR="00E744C4" w:rsidRPr="00CD4AD4" w14:paraId="07AB3F48" w14:textId="77777777" w:rsidTr="00CD4AD4">
        <w:trPr>
          <w:trHeight w:val="215"/>
          <w:jc w:val="center"/>
        </w:trPr>
        <w:tc>
          <w:tcPr>
            <w:tcW w:w="2375" w:type="dxa"/>
          </w:tcPr>
          <w:p w14:paraId="6B8EA3E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Delnomdedieu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2016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37</w:t>
            </w:r>
          </w:p>
        </w:tc>
        <w:tc>
          <w:tcPr>
            <w:tcW w:w="2076" w:type="dxa"/>
          </w:tcPr>
          <w:p w14:paraId="5A3260D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AAB-003</w:t>
            </w:r>
          </w:p>
        </w:tc>
        <w:tc>
          <w:tcPr>
            <w:tcW w:w="4549" w:type="dxa"/>
          </w:tcPr>
          <w:p w14:paraId="59B9A0B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Amyloid-related imaging abnormalities (ARIA-H)</w:t>
            </w:r>
          </w:p>
        </w:tc>
        <w:tc>
          <w:tcPr>
            <w:tcW w:w="2412" w:type="dxa"/>
          </w:tcPr>
          <w:p w14:paraId="4157AEC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2340" w:type="dxa"/>
          </w:tcPr>
          <w:p w14:paraId="5BD8CC6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28" w:type="dxa"/>
          </w:tcPr>
          <w:p w14:paraId="2726698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12</w:t>
            </w:r>
          </w:p>
        </w:tc>
      </w:tr>
      <w:tr w:rsidR="00E744C4" w:rsidRPr="00CD4AD4" w14:paraId="7F87CE4C" w14:textId="77777777" w:rsidTr="00CD4AD4">
        <w:trPr>
          <w:trHeight w:val="96"/>
          <w:jc w:val="center"/>
        </w:trPr>
        <w:tc>
          <w:tcPr>
            <w:tcW w:w="2375" w:type="dxa"/>
          </w:tcPr>
          <w:p w14:paraId="4FA75B7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Dodel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2013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33</w:t>
            </w:r>
          </w:p>
        </w:tc>
        <w:tc>
          <w:tcPr>
            <w:tcW w:w="2076" w:type="dxa"/>
          </w:tcPr>
          <w:p w14:paraId="626CA17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Octagam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® 10</w:t>
            </w:r>
          </w:p>
        </w:tc>
        <w:tc>
          <w:tcPr>
            <w:tcW w:w="4549" w:type="dxa"/>
          </w:tcPr>
          <w:p w14:paraId="7C7A7B9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ARIA-H</w:t>
            </w:r>
          </w:p>
        </w:tc>
        <w:tc>
          <w:tcPr>
            <w:tcW w:w="2412" w:type="dxa"/>
          </w:tcPr>
          <w:p w14:paraId="01E510C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59.5</w:t>
            </w:r>
          </w:p>
        </w:tc>
        <w:tc>
          <w:tcPr>
            <w:tcW w:w="2340" w:type="dxa"/>
          </w:tcPr>
          <w:p w14:paraId="4BC1549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28" w:type="dxa"/>
          </w:tcPr>
          <w:p w14:paraId="52D63A4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14</w:t>
            </w:r>
          </w:p>
        </w:tc>
      </w:tr>
      <w:tr w:rsidR="00E744C4" w:rsidRPr="00CD4AD4" w14:paraId="651F088F" w14:textId="77777777" w:rsidTr="00CD4AD4">
        <w:trPr>
          <w:trHeight w:val="58"/>
          <w:jc w:val="center"/>
        </w:trPr>
        <w:tc>
          <w:tcPr>
            <w:tcW w:w="2375" w:type="dxa"/>
          </w:tcPr>
          <w:p w14:paraId="1802458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Doody et al., 2014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39</w:t>
            </w:r>
          </w:p>
        </w:tc>
        <w:tc>
          <w:tcPr>
            <w:tcW w:w="2076" w:type="dxa"/>
          </w:tcPr>
          <w:p w14:paraId="2A311E2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Solanezumab</w:t>
            </w:r>
          </w:p>
        </w:tc>
        <w:tc>
          <w:tcPr>
            <w:tcW w:w="4549" w:type="dxa"/>
          </w:tcPr>
          <w:p w14:paraId="395DE80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Cardiac problems</w:t>
            </w:r>
          </w:p>
        </w:tc>
        <w:tc>
          <w:tcPr>
            <w:tcW w:w="2412" w:type="dxa"/>
          </w:tcPr>
          <w:p w14:paraId="629A262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340" w:type="dxa"/>
          </w:tcPr>
          <w:p w14:paraId="4EB7BF4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628" w:type="dxa"/>
          </w:tcPr>
          <w:p w14:paraId="7A31D75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80</w:t>
            </w:r>
          </w:p>
        </w:tc>
      </w:tr>
      <w:tr w:rsidR="00E744C4" w:rsidRPr="00CD4AD4" w14:paraId="49AF9A6C" w14:textId="77777777" w:rsidTr="00CD4AD4">
        <w:trPr>
          <w:trHeight w:val="58"/>
          <w:jc w:val="center"/>
        </w:trPr>
        <w:tc>
          <w:tcPr>
            <w:tcW w:w="2375" w:type="dxa"/>
          </w:tcPr>
          <w:p w14:paraId="72983BC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Farlow M et al., 1992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19</w:t>
            </w:r>
          </w:p>
        </w:tc>
        <w:tc>
          <w:tcPr>
            <w:tcW w:w="2076" w:type="dxa"/>
          </w:tcPr>
          <w:p w14:paraId="553A155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Tacrine</w:t>
            </w:r>
          </w:p>
        </w:tc>
        <w:tc>
          <w:tcPr>
            <w:tcW w:w="4549" w:type="dxa"/>
          </w:tcPr>
          <w:p w14:paraId="3052632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Liver toxicity, nausea, vomiting, diarrhea</w:t>
            </w:r>
          </w:p>
        </w:tc>
        <w:tc>
          <w:tcPr>
            <w:tcW w:w="2412" w:type="dxa"/>
          </w:tcPr>
          <w:p w14:paraId="63B1DAB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40" w:type="dxa"/>
          </w:tcPr>
          <w:p w14:paraId="3921076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628" w:type="dxa"/>
          </w:tcPr>
          <w:p w14:paraId="4326FC7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78</w:t>
            </w:r>
          </w:p>
        </w:tc>
      </w:tr>
      <w:tr w:rsidR="00E744C4" w:rsidRPr="00CD4AD4" w14:paraId="15F8301F" w14:textId="77777777" w:rsidTr="00CD4AD4">
        <w:trPr>
          <w:trHeight w:val="530"/>
          <w:jc w:val="center"/>
        </w:trPr>
        <w:tc>
          <w:tcPr>
            <w:tcW w:w="2375" w:type="dxa"/>
          </w:tcPr>
          <w:p w14:paraId="70C4087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Ferrero et al., 2016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2076" w:type="dxa"/>
          </w:tcPr>
          <w:p w14:paraId="2B86626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Aducanumab</w:t>
            </w:r>
          </w:p>
        </w:tc>
        <w:tc>
          <w:tcPr>
            <w:tcW w:w="4549" w:type="dxa"/>
          </w:tcPr>
          <w:p w14:paraId="5D7AC04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Headache, diarrhea, and URI</w:t>
            </w:r>
          </w:p>
        </w:tc>
        <w:tc>
          <w:tcPr>
            <w:tcW w:w="2412" w:type="dxa"/>
          </w:tcPr>
          <w:p w14:paraId="492FEF2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40" w:type="dxa"/>
          </w:tcPr>
          <w:p w14:paraId="4EF5EF2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28" w:type="dxa"/>
          </w:tcPr>
          <w:p w14:paraId="4BE4720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E744C4" w:rsidRPr="00CD4AD4" w14:paraId="677FD733" w14:textId="77777777" w:rsidTr="00CD4AD4">
        <w:trPr>
          <w:trHeight w:val="58"/>
          <w:jc w:val="center"/>
        </w:trPr>
        <w:tc>
          <w:tcPr>
            <w:tcW w:w="2375" w:type="dxa"/>
          </w:tcPr>
          <w:p w14:paraId="6D5ACF1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Frölich et al., 2011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27</w:t>
            </w:r>
          </w:p>
        </w:tc>
        <w:tc>
          <w:tcPr>
            <w:tcW w:w="2076" w:type="dxa"/>
          </w:tcPr>
          <w:p w14:paraId="4FC8215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AZD3480</w:t>
            </w:r>
          </w:p>
        </w:tc>
        <w:tc>
          <w:tcPr>
            <w:tcW w:w="4549" w:type="dxa"/>
          </w:tcPr>
          <w:p w14:paraId="4BB3DB0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Gastrointestinal-related adverse events</w:t>
            </w:r>
          </w:p>
        </w:tc>
        <w:tc>
          <w:tcPr>
            <w:tcW w:w="2412" w:type="dxa"/>
          </w:tcPr>
          <w:p w14:paraId="4DE7506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2340" w:type="dxa"/>
          </w:tcPr>
          <w:p w14:paraId="3E04284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628" w:type="dxa"/>
          </w:tcPr>
          <w:p w14:paraId="40891F3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60</w:t>
            </w:r>
          </w:p>
        </w:tc>
      </w:tr>
      <w:tr w:rsidR="00E744C4" w:rsidRPr="00CD4AD4" w14:paraId="575524E0" w14:textId="77777777" w:rsidTr="00CD4AD4">
        <w:trPr>
          <w:trHeight w:val="470"/>
          <w:jc w:val="center"/>
        </w:trPr>
        <w:tc>
          <w:tcPr>
            <w:tcW w:w="2375" w:type="dxa"/>
          </w:tcPr>
          <w:p w14:paraId="2E6FA54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Geldmacher DS et al., 2011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41</w:t>
            </w:r>
          </w:p>
        </w:tc>
        <w:tc>
          <w:tcPr>
            <w:tcW w:w="2076" w:type="dxa"/>
          </w:tcPr>
          <w:p w14:paraId="0C24884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Pioglitazone</w:t>
            </w:r>
          </w:p>
        </w:tc>
        <w:tc>
          <w:tcPr>
            <w:tcW w:w="4549" w:type="dxa"/>
          </w:tcPr>
          <w:p w14:paraId="708C224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Peripheral edema</w:t>
            </w:r>
          </w:p>
        </w:tc>
        <w:tc>
          <w:tcPr>
            <w:tcW w:w="2412" w:type="dxa"/>
          </w:tcPr>
          <w:p w14:paraId="4B0C7AA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2340" w:type="dxa"/>
          </w:tcPr>
          <w:p w14:paraId="38CB1A3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28" w:type="dxa"/>
          </w:tcPr>
          <w:p w14:paraId="62B8670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E744C4" w:rsidRPr="00CD4AD4" w14:paraId="1751935E" w14:textId="77777777" w:rsidTr="00CD4AD4">
        <w:trPr>
          <w:trHeight w:val="680"/>
          <w:jc w:val="center"/>
        </w:trPr>
        <w:tc>
          <w:tcPr>
            <w:tcW w:w="2375" w:type="dxa"/>
          </w:tcPr>
          <w:p w14:paraId="78747B1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Imbimbo BP et al., 1999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16</w:t>
            </w:r>
          </w:p>
        </w:tc>
        <w:tc>
          <w:tcPr>
            <w:tcW w:w="2076" w:type="dxa"/>
          </w:tcPr>
          <w:p w14:paraId="27A319C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Eptastigmine</w:t>
            </w:r>
            <w:proofErr w:type="spellEnd"/>
          </w:p>
        </w:tc>
        <w:tc>
          <w:tcPr>
            <w:tcW w:w="4549" w:type="dxa"/>
          </w:tcPr>
          <w:p w14:paraId="37204A2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Gastrointestinal events</w:t>
            </w:r>
          </w:p>
        </w:tc>
        <w:tc>
          <w:tcPr>
            <w:tcW w:w="2412" w:type="dxa"/>
          </w:tcPr>
          <w:p w14:paraId="6CC9546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40" w:type="dxa"/>
          </w:tcPr>
          <w:p w14:paraId="02B7703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628" w:type="dxa"/>
          </w:tcPr>
          <w:p w14:paraId="52580F5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89</w:t>
            </w:r>
          </w:p>
        </w:tc>
      </w:tr>
      <w:tr w:rsidR="00E744C4" w:rsidRPr="00CD4AD4" w14:paraId="52F40CA8" w14:textId="77777777" w:rsidTr="00CD4AD4">
        <w:trPr>
          <w:trHeight w:val="294"/>
          <w:jc w:val="center"/>
        </w:trPr>
        <w:tc>
          <w:tcPr>
            <w:tcW w:w="2375" w:type="dxa"/>
          </w:tcPr>
          <w:p w14:paraId="2F8F32F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Imbimbo BP et al., 2000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2076" w:type="dxa"/>
          </w:tcPr>
          <w:p w14:paraId="23A257C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Eptastigmine</w:t>
            </w:r>
            <w:proofErr w:type="spellEnd"/>
          </w:p>
        </w:tc>
        <w:tc>
          <w:tcPr>
            <w:tcW w:w="4549" w:type="dxa"/>
          </w:tcPr>
          <w:p w14:paraId="260EAD1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Nausea, vomiting, diarrhea, abdominal pain</w:t>
            </w:r>
          </w:p>
        </w:tc>
        <w:tc>
          <w:tcPr>
            <w:tcW w:w="2412" w:type="dxa"/>
          </w:tcPr>
          <w:p w14:paraId="1C13E50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40" w:type="dxa"/>
          </w:tcPr>
          <w:p w14:paraId="424575C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628" w:type="dxa"/>
          </w:tcPr>
          <w:p w14:paraId="7DC3933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55</w:t>
            </w:r>
          </w:p>
        </w:tc>
      </w:tr>
      <w:tr w:rsidR="00E744C4" w:rsidRPr="00CD4AD4" w14:paraId="4BC49496" w14:textId="77777777" w:rsidTr="00CD4AD4">
        <w:trPr>
          <w:trHeight w:val="58"/>
          <w:jc w:val="center"/>
        </w:trPr>
        <w:tc>
          <w:tcPr>
            <w:tcW w:w="2375" w:type="dxa"/>
          </w:tcPr>
          <w:p w14:paraId="77967B2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Knapp MJ et al., 1994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2076" w:type="dxa"/>
          </w:tcPr>
          <w:p w14:paraId="62FF2CC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Physostigmine</w:t>
            </w:r>
          </w:p>
        </w:tc>
        <w:tc>
          <w:tcPr>
            <w:tcW w:w="4549" w:type="dxa"/>
          </w:tcPr>
          <w:p w14:paraId="7265D5B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Liver toxicity, gastrointestinal issues</w:t>
            </w:r>
          </w:p>
        </w:tc>
        <w:tc>
          <w:tcPr>
            <w:tcW w:w="2412" w:type="dxa"/>
          </w:tcPr>
          <w:p w14:paraId="47C3A36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40" w:type="dxa"/>
          </w:tcPr>
          <w:p w14:paraId="3760273E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628" w:type="dxa"/>
          </w:tcPr>
          <w:p w14:paraId="7ECE4F4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120</w:t>
            </w:r>
          </w:p>
        </w:tc>
      </w:tr>
      <w:tr w:rsidR="00E744C4" w:rsidRPr="00CD4AD4" w14:paraId="7DCE0044" w14:textId="77777777" w:rsidTr="00CD4AD4">
        <w:trPr>
          <w:trHeight w:val="58"/>
          <w:jc w:val="center"/>
        </w:trPr>
        <w:tc>
          <w:tcPr>
            <w:tcW w:w="2375" w:type="dxa"/>
          </w:tcPr>
          <w:p w14:paraId="4F851C1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Mulnard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2000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2076" w:type="dxa"/>
          </w:tcPr>
          <w:p w14:paraId="4093001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Estrogen</w:t>
            </w:r>
          </w:p>
        </w:tc>
        <w:tc>
          <w:tcPr>
            <w:tcW w:w="4549" w:type="dxa"/>
          </w:tcPr>
          <w:p w14:paraId="6277172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Vaginal bleeding and DVT</w:t>
            </w:r>
          </w:p>
        </w:tc>
        <w:tc>
          <w:tcPr>
            <w:tcW w:w="2412" w:type="dxa"/>
          </w:tcPr>
          <w:p w14:paraId="0DBFC76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14:paraId="11516F8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28" w:type="dxa"/>
          </w:tcPr>
          <w:p w14:paraId="7C30F90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E744C4" w:rsidRPr="00CD4AD4" w14:paraId="76168B03" w14:textId="77777777" w:rsidTr="00CD4AD4">
        <w:trPr>
          <w:trHeight w:val="473"/>
          <w:jc w:val="center"/>
        </w:trPr>
        <w:tc>
          <w:tcPr>
            <w:tcW w:w="2375" w:type="dxa"/>
          </w:tcPr>
          <w:p w14:paraId="62ED2D9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Nappi G et al., 1997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43</w:t>
            </w:r>
          </w:p>
        </w:tc>
        <w:tc>
          <w:tcPr>
            <w:tcW w:w="2076" w:type="dxa"/>
          </w:tcPr>
          <w:p w14:paraId="3FFB8BB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Nicergoline</w:t>
            </w:r>
          </w:p>
        </w:tc>
        <w:tc>
          <w:tcPr>
            <w:tcW w:w="4549" w:type="dxa"/>
          </w:tcPr>
          <w:p w14:paraId="302BE7B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No significant adverse events</w:t>
            </w:r>
          </w:p>
        </w:tc>
        <w:tc>
          <w:tcPr>
            <w:tcW w:w="2412" w:type="dxa"/>
          </w:tcPr>
          <w:p w14:paraId="1F65111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14:paraId="034DE01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28" w:type="dxa"/>
          </w:tcPr>
          <w:p w14:paraId="5D99F34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E744C4" w:rsidRPr="00CD4AD4" w14:paraId="6827548A" w14:textId="77777777" w:rsidTr="00CD4AD4">
        <w:trPr>
          <w:trHeight w:val="173"/>
          <w:jc w:val="center"/>
        </w:trPr>
        <w:tc>
          <w:tcPr>
            <w:tcW w:w="2375" w:type="dxa"/>
          </w:tcPr>
          <w:p w14:paraId="59DFE6F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Novak et al., 2020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2076" w:type="dxa"/>
          </w:tcPr>
          <w:p w14:paraId="7DACEC7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Atabecestat</w:t>
            </w:r>
            <w:proofErr w:type="spellEnd"/>
          </w:p>
        </w:tc>
        <w:tc>
          <w:tcPr>
            <w:tcW w:w="4549" w:type="dxa"/>
          </w:tcPr>
          <w:p w14:paraId="6DF7B34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Hepatic-related AEs</w:t>
            </w:r>
          </w:p>
        </w:tc>
        <w:tc>
          <w:tcPr>
            <w:tcW w:w="2412" w:type="dxa"/>
          </w:tcPr>
          <w:p w14:paraId="52A5409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2340" w:type="dxa"/>
          </w:tcPr>
          <w:p w14:paraId="28AC020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28" w:type="dxa"/>
          </w:tcPr>
          <w:p w14:paraId="69D6953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E744C4" w:rsidRPr="00CD4AD4" w14:paraId="7C379C79" w14:textId="77777777" w:rsidTr="00CD4AD4">
        <w:trPr>
          <w:trHeight w:val="193"/>
          <w:jc w:val="center"/>
        </w:trPr>
        <w:tc>
          <w:tcPr>
            <w:tcW w:w="2375" w:type="dxa"/>
          </w:tcPr>
          <w:p w14:paraId="47E3321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Olin et al., 2001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24</w:t>
            </w:r>
          </w:p>
        </w:tc>
        <w:tc>
          <w:tcPr>
            <w:tcW w:w="2076" w:type="dxa"/>
          </w:tcPr>
          <w:p w14:paraId="72063F4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Carbamazepine</w:t>
            </w:r>
          </w:p>
        </w:tc>
        <w:tc>
          <w:tcPr>
            <w:tcW w:w="4549" w:type="dxa"/>
          </w:tcPr>
          <w:p w14:paraId="74B752B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Diarrhea and vomiting</w:t>
            </w:r>
          </w:p>
        </w:tc>
        <w:tc>
          <w:tcPr>
            <w:tcW w:w="2412" w:type="dxa"/>
          </w:tcPr>
          <w:p w14:paraId="37ED76D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40" w:type="dxa"/>
          </w:tcPr>
          <w:p w14:paraId="2BF43A9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28" w:type="dxa"/>
          </w:tcPr>
          <w:p w14:paraId="5379A18E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E744C4" w:rsidRPr="00CD4AD4" w14:paraId="46EFF696" w14:textId="77777777" w:rsidTr="00CD4AD4">
        <w:trPr>
          <w:trHeight w:val="399"/>
          <w:jc w:val="center"/>
        </w:trPr>
        <w:tc>
          <w:tcPr>
            <w:tcW w:w="2375" w:type="dxa"/>
          </w:tcPr>
          <w:p w14:paraId="7C7AD0A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Ostrowitzki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2022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32</w:t>
            </w:r>
          </w:p>
        </w:tc>
        <w:tc>
          <w:tcPr>
            <w:tcW w:w="2076" w:type="dxa"/>
          </w:tcPr>
          <w:p w14:paraId="0EA2A84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Crenezumab</w:t>
            </w:r>
            <w:proofErr w:type="spellEnd"/>
          </w:p>
        </w:tc>
        <w:tc>
          <w:tcPr>
            <w:tcW w:w="4549" w:type="dxa"/>
          </w:tcPr>
          <w:p w14:paraId="111F568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Headache, URI, back pain, Nasopharyngitis</w:t>
            </w:r>
          </w:p>
        </w:tc>
        <w:tc>
          <w:tcPr>
            <w:tcW w:w="2412" w:type="dxa"/>
          </w:tcPr>
          <w:p w14:paraId="7A4780F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2340" w:type="dxa"/>
          </w:tcPr>
          <w:p w14:paraId="242B4A3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2628" w:type="dxa"/>
          </w:tcPr>
          <w:p w14:paraId="2BCBDD2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628</w:t>
            </w:r>
          </w:p>
        </w:tc>
      </w:tr>
      <w:tr w:rsidR="00E744C4" w:rsidRPr="00CD4AD4" w14:paraId="2A470AA1" w14:textId="77777777" w:rsidTr="00CD4AD4">
        <w:trPr>
          <w:trHeight w:val="99"/>
          <w:jc w:val="center"/>
        </w:trPr>
        <w:tc>
          <w:tcPr>
            <w:tcW w:w="2375" w:type="dxa"/>
          </w:tcPr>
          <w:p w14:paraId="7ED3B50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Ravina et al., 2004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2076" w:type="dxa"/>
          </w:tcPr>
          <w:p w14:paraId="1AD4B3E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Donepezil</w:t>
            </w:r>
          </w:p>
        </w:tc>
        <w:tc>
          <w:tcPr>
            <w:tcW w:w="4549" w:type="dxa"/>
          </w:tcPr>
          <w:p w14:paraId="6D0636D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Worsening psychosis and arrhythmia</w:t>
            </w:r>
          </w:p>
        </w:tc>
        <w:tc>
          <w:tcPr>
            <w:tcW w:w="2412" w:type="dxa"/>
          </w:tcPr>
          <w:p w14:paraId="2272264E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40" w:type="dxa"/>
          </w:tcPr>
          <w:p w14:paraId="1034365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28" w:type="dxa"/>
          </w:tcPr>
          <w:p w14:paraId="3E14427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</w:t>
            </w:r>
          </w:p>
        </w:tc>
      </w:tr>
      <w:tr w:rsidR="00E744C4" w:rsidRPr="00CD4AD4" w14:paraId="47625047" w14:textId="77777777" w:rsidTr="00CD4AD4">
        <w:trPr>
          <w:trHeight w:val="680"/>
          <w:jc w:val="center"/>
        </w:trPr>
        <w:tc>
          <w:tcPr>
            <w:tcW w:w="2375" w:type="dxa"/>
          </w:tcPr>
          <w:p w14:paraId="026F80D5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Salloway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2009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21</w:t>
            </w:r>
          </w:p>
        </w:tc>
        <w:tc>
          <w:tcPr>
            <w:tcW w:w="2076" w:type="dxa"/>
          </w:tcPr>
          <w:p w14:paraId="0AAE23A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Bapineuzumab</w:t>
            </w:r>
          </w:p>
        </w:tc>
        <w:tc>
          <w:tcPr>
            <w:tcW w:w="4549" w:type="dxa"/>
          </w:tcPr>
          <w:p w14:paraId="559A80F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Unspecified ADR</w:t>
            </w:r>
          </w:p>
        </w:tc>
        <w:tc>
          <w:tcPr>
            <w:tcW w:w="2412" w:type="dxa"/>
          </w:tcPr>
          <w:p w14:paraId="235205D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340" w:type="dxa"/>
          </w:tcPr>
          <w:p w14:paraId="1CB6172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28" w:type="dxa"/>
          </w:tcPr>
          <w:p w14:paraId="10A28F5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E744C4" w:rsidRPr="00CD4AD4" w14:paraId="22B447BA" w14:textId="77777777" w:rsidTr="00CD4AD4">
        <w:trPr>
          <w:trHeight w:val="530"/>
          <w:jc w:val="center"/>
        </w:trPr>
        <w:tc>
          <w:tcPr>
            <w:tcW w:w="2375" w:type="dxa"/>
          </w:tcPr>
          <w:p w14:paraId="21AE92CE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Salloway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2014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38</w:t>
            </w:r>
          </w:p>
        </w:tc>
        <w:tc>
          <w:tcPr>
            <w:tcW w:w="2076" w:type="dxa"/>
          </w:tcPr>
          <w:p w14:paraId="4142A89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Bapineuzumab</w:t>
            </w:r>
          </w:p>
        </w:tc>
        <w:tc>
          <w:tcPr>
            <w:tcW w:w="4549" w:type="dxa"/>
          </w:tcPr>
          <w:p w14:paraId="354AE58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Amyloid-related imaging abnormalities with effusion or edema</w:t>
            </w:r>
          </w:p>
        </w:tc>
        <w:tc>
          <w:tcPr>
            <w:tcW w:w="2412" w:type="dxa"/>
          </w:tcPr>
          <w:p w14:paraId="15542DC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2340" w:type="dxa"/>
          </w:tcPr>
          <w:p w14:paraId="596C2A6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28" w:type="dxa"/>
          </w:tcPr>
          <w:p w14:paraId="25A4148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27</w:t>
            </w:r>
          </w:p>
        </w:tc>
      </w:tr>
      <w:tr w:rsidR="00E744C4" w:rsidRPr="00CD4AD4" w14:paraId="5823868E" w14:textId="77777777" w:rsidTr="00CD4AD4">
        <w:trPr>
          <w:trHeight w:val="680"/>
          <w:jc w:val="center"/>
        </w:trPr>
        <w:tc>
          <w:tcPr>
            <w:tcW w:w="2375" w:type="dxa"/>
          </w:tcPr>
          <w:p w14:paraId="79306563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Salloway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2025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2076" w:type="dxa"/>
          </w:tcPr>
          <w:p w14:paraId="50AE775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Gantenerumab</w:t>
            </w:r>
          </w:p>
        </w:tc>
        <w:tc>
          <w:tcPr>
            <w:tcW w:w="4549" w:type="dxa"/>
          </w:tcPr>
          <w:p w14:paraId="5025C99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ARIA-H</w:t>
            </w:r>
          </w:p>
        </w:tc>
        <w:tc>
          <w:tcPr>
            <w:tcW w:w="2412" w:type="dxa"/>
          </w:tcPr>
          <w:p w14:paraId="54B325B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40" w:type="dxa"/>
          </w:tcPr>
          <w:p w14:paraId="77BA5CA7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628" w:type="dxa"/>
          </w:tcPr>
          <w:p w14:paraId="438172F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98</w:t>
            </w:r>
          </w:p>
        </w:tc>
      </w:tr>
      <w:tr w:rsidR="00E744C4" w:rsidRPr="00CD4AD4" w14:paraId="24441078" w14:textId="77777777" w:rsidTr="00CD4AD4">
        <w:trPr>
          <w:trHeight w:val="58"/>
          <w:jc w:val="center"/>
        </w:trPr>
        <w:tc>
          <w:tcPr>
            <w:tcW w:w="2375" w:type="dxa"/>
          </w:tcPr>
          <w:p w14:paraId="65EDCADA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Scheltens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et al., 2018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28</w:t>
            </w:r>
          </w:p>
        </w:tc>
        <w:tc>
          <w:tcPr>
            <w:tcW w:w="2076" w:type="dxa"/>
          </w:tcPr>
          <w:p w14:paraId="6E8C022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PQ912</w:t>
            </w:r>
          </w:p>
        </w:tc>
        <w:tc>
          <w:tcPr>
            <w:tcW w:w="4549" w:type="dxa"/>
          </w:tcPr>
          <w:p w14:paraId="0C3BA72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Gastrointestinal and skin-related issues</w:t>
            </w:r>
          </w:p>
        </w:tc>
        <w:tc>
          <w:tcPr>
            <w:tcW w:w="2412" w:type="dxa"/>
          </w:tcPr>
          <w:p w14:paraId="6787545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14:paraId="4DBC302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628" w:type="dxa"/>
          </w:tcPr>
          <w:p w14:paraId="4791179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103</w:t>
            </w:r>
          </w:p>
        </w:tc>
      </w:tr>
      <w:tr w:rsidR="00E744C4" w:rsidRPr="00CD4AD4" w14:paraId="129A54F8" w14:textId="77777777" w:rsidTr="00442C34">
        <w:trPr>
          <w:trHeight w:val="58"/>
          <w:jc w:val="center"/>
        </w:trPr>
        <w:tc>
          <w:tcPr>
            <w:tcW w:w="2375" w:type="dxa"/>
          </w:tcPr>
          <w:p w14:paraId="6238A009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Tariot</w:t>
            </w:r>
            <w:proofErr w:type="spellEnd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 xml:space="preserve"> PN et al., 2001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2076" w:type="dxa"/>
          </w:tcPr>
          <w:p w14:paraId="31606E4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Donepezil</w:t>
            </w:r>
          </w:p>
        </w:tc>
        <w:tc>
          <w:tcPr>
            <w:tcW w:w="4549" w:type="dxa"/>
          </w:tcPr>
          <w:p w14:paraId="5B749BE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Gastrointestinal events, weight loss</w:t>
            </w:r>
          </w:p>
        </w:tc>
        <w:tc>
          <w:tcPr>
            <w:tcW w:w="2412" w:type="dxa"/>
          </w:tcPr>
          <w:p w14:paraId="238DA02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340" w:type="dxa"/>
          </w:tcPr>
          <w:p w14:paraId="0B4674C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628" w:type="dxa"/>
          </w:tcPr>
          <w:p w14:paraId="28F9CF8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96</w:t>
            </w:r>
          </w:p>
        </w:tc>
      </w:tr>
      <w:tr w:rsidR="00E744C4" w:rsidRPr="00CD4AD4" w14:paraId="5A57E851" w14:textId="77777777" w:rsidTr="00442C34">
        <w:trPr>
          <w:trHeight w:val="183"/>
          <w:jc w:val="center"/>
        </w:trPr>
        <w:tc>
          <w:tcPr>
            <w:tcW w:w="2375" w:type="dxa"/>
          </w:tcPr>
          <w:p w14:paraId="45BA5E0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Teng et al., 2022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31</w:t>
            </w:r>
          </w:p>
        </w:tc>
        <w:tc>
          <w:tcPr>
            <w:tcW w:w="2076" w:type="dxa"/>
          </w:tcPr>
          <w:p w14:paraId="19B6D5C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Semorinemab</w:t>
            </w:r>
            <w:proofErr w:type="spellEnd"/>
          </w:p>
        </w:tc>
        <w:tc>
          <w:tcPr>
            <w:tcW w:w="4549" w:type="dxa"/>
          </w:tcPr>
          <w:p w14:paraId="163481A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Headache, URI, back pain, Nasopharyngitis</w:t>
            </w:r>
          </w:p>
        </w:tc>
        <w:tc>
          <w:tcPr>
            <w:tcW w:w="2412" w:type="dxa"/>
          </w:tcPr>
          <w:p w14:paraId="775E79E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2340" w:type="dxa"/>
          </w:tcPr>
          <w:p w14:paraId="7E782A8C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628" w:type="dxa"/>
          </w:tcPr>
          <w:p w14:paraId="6305389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121</w:t>
            </w:r>
          </w:p>
        </w:tc>
      </w:tr>
      <w:tr w:rsidR="00E744C4" w:rsidRPr="00CD4AD4" w14:paraId="66565F72" w14:textId="77777777" w:rsidTr="00442C34">
        <w:trPr>
          <w:trHeight w:val="58"/>
          <w:jc w:val="center"/>
        </w:trPr>
        <w:tc>
          <w:tcPr>
            <w:tcW w:w="2375" w:type="dxa"/>
          </w:tcPr>
          <w:p w14:paraId="79785CD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Van Gool et al., 2001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23</w:t>
            </w:r>
          </w:p>
        </w:tc>
        <w:tc>
          <w:tcPr>
            <w:tcW w:w="2076" w:type="dxa"/>
          </w:tcPr>
          <w:p w14:paraId="198F8AA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Hydroxychloroquine</w:t>
            </w:r>
          </w:p>
        </w:tc>
        <w:tc>
          <w:tcPr>
            <w:tcW w:w="4549" w:type="dxa"/>
          </w:tcPr>
          <w:p w14:paraId="32C66EE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Severe adverse event</w:t>
            </w:r>
          </w:p>
        </w:tc>
        <w:tc>
          <w:tcPr>
            <w:tcW w:w="2412" w:type="dxa"/>
          </w:tcPr>
          <w:p w14:paraId="019945AD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14:paraId="7012A256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28" w:type="dxa"/>
          </w:tcPr>
          <w:p w14:paraId="15EAA8B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E744C4" w:rsidRPr="00CD4AD4" w14:paraId="3C0F7948" w14:textId="77777777" w:rsidTr="00442C34">
        <w:trPr>
          <w:trHeight w:val="468"/>
          <w:jc w:val="center"/>
        </w:trPr>
        <w:tc>
          <w:tcPr>
            <w:tcW w:w="2375" w:type="dxa"/>
          </w:tcPr>
          <w:p w14:paraId="1A988DC1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Wessels et al., 2020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34</w:t>
            </w:r>
          </w:p>
        </w:tc>
        <w:tc>
          <w:tcPr>
            <w:tcW w:w="2076" w:type="dxa"/>
          </w:tcPr>
          <w:p w14:paraId="6982E9D2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Lanabecestat</w:t>
            </w:r>
            <w:proofErr w:type="spellEnd"/>
          </w:p>
        </w:tc>
        <w:tc>
          <w:tcPr>
            <w:tcW w:w="4549" w:type="dxa"/>
          </w:tcPr>
          <w:p w14:paraId="5E510CC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Psychiatric adverse events, weight loss, and hair color changes</w:t>
            </w:r>
          </w:p>
        </w:tc>
        <w:tc>
          <w:tcPr>
            <w:tcW w:w="2412" w:type="dxa"/>
          </w:tcPr>
          <w:p w14:paraId="6664394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2340" w:type="dxa"/>
          </w:tcPr>
          <w:p w14:paraId="2DF67D30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628" w:type="dxa"/>
          </w:tcPr>
          <w:p w14:paraId="642D61D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158</w:t>
            </w:r>
          </w:p>
        </w:tc>
      </w:tr>
      <w:tr w:rsidR="00E744C4" w:rsidRPr="00CD4AD4" w14:paraId="6529DAAE" w14:textId="77777777" w:rsidTr="00442C34">
        <w:trPr>
          <w:trHeight w:val="349"/>
          <w:jc w:val="center"/>
        </w:trPr>
        <w:tc>
          <w:tcPr>
            <w:tcW w:w="2375" w:type="dxa"/>
          </w:tcPr>
          <w:p w14:paraId="38AC828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Wilcock GK et al., 2008</w:t>
            </w: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  <w:vertAlign w:val="superscript"/>
              </w:rPr>
              <w:t>42</w:t>
            </w:r>
          </w:p>
        </w:tc>
        <w:tc>
          <w:tcPr>
            <w:tcW w:w="2076" w:type="dxa"/>
          </w:tcPr>
          <w:p w14:paraId="4D17E71B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Tarenflurbil</w:t>
            </w:r>
          </w:p>
        </w:tc>
        <w:tc>
          <w:tcPr>
            <w:tcW w:w="4549" w:type="dxa"/>
          </w:tcPr>
          <w:p w14:paraId="2909D8E4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Diarrhea, nausea, dizziness</w:t>
            </w:r>
          </w:p>
        </w:tc>
        <w:tc>
          <w:tcPr>
            <w:tcW w:w="2412" w:type="dxa"/>
          </w:tcPr>
          <w:p w14:paraId="79D273B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14:paraId="19AF6D2F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28" w:type="dxa"/>
          </w:tcPr>
          <w:p w14:paraId="79FC7538" w14:textId="77777777" w:rsidR="00E744C4" w:rsidRPr="00CD4AD4" w:rsidRDefault="00E744C4" w:rsidP="00CD4AD4">
            <w:pPr>
              <w:spacing w:line="360" w:lineRule="auto"/>
              <w:jc w:val="both"/>
              <w:textAlignment w:val="bottom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D4AD4">
              <w:rPr>
                <w:rFonts w:ascii="Arial" w:eastAsia="SimSun" w:hAnsi="Arial" w:cs="Arial"/>
                <w:color w:val="000000"/>
                <w:sz w:val="24"/>
                <w:szCs w:val="24"/>
              </w:rPr>
              <w:t>13</w:t>
            </w:r>
          </w:p>
        </w:tc>
      </w:tr>
    </w:tbl>
    <w:p w14:paraId="11B73070" w14:textId="77777777" w:rsidR="00E744C4" w:rsidRPr="00CD4AD4" w:rsidRDefault="00E744C4" w:rsidP="00CD4A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E744C4" w:rsidRPr="00CD4AD4" w:rsidSect="00CD4A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4C4"/>
    <w:rsid w:val="0024202B"/>
    <w:rsid w:val="00442C34"/>
    <w:rsid w:val="007C270F"/>
    <w:rsid w:val="009437DF"/>
    <w:rsid w:val="00AE13B4"/>
    <w:rsid w:val="00C9286C"/>
    <w:rsid w:val="00CD4AD4"/>
    <w:rsid w:val="00E7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10EB"/>
  <w15:docId w15:val="{9E7FE377-1E9B-46D4-B909-5E842DAA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7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D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4e78e09de64c8274d6f2e198a3bca7f3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1d38f2b641499ec940c65b951fb51f20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0809727E-B6A9-4912-8BA9-25BE4CC5D4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625CA-5F87-4C5A-9786-752E448FB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C7BB5B-AE9B-4124-B693-7E7820F53EBE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neelufar</dc:creator>
  <cp:keywords/>
  <dc:description/>
  <cp:lastModifiedBy>Denise ABN</cp:lastModifiedBy>
  <cp:revision>2</cp:revision>
  <dcterms:created xsi:type="dcterms:W3CDTF">2026-05-07T19:12:00Z</dcterms:created>
  <dcterms:modified xsi:type="dcterms:W3CDTF">2026-05-07T19:12:00Z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