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CFA6" w14:textId="77777777" w:rsidR="002B4A51" w:rsidRDefault="002B4A51" w:rsidP="002B4A51">
      <w:pPr>
        <w:spacing w:after="0" w:line="360" w:lineRule="auto"/>
        <w:jc w:val="both"/>
        <w:rPr>
          <w:rFonts w:ascii="Arial" w:hAnsi="Arial" w:cs="Arial"/>
          <w:b/>
          <w:sz w:val="24"/>
          <w:szCs w:val="24"/>
          <w:lang w:val="en-US"/>
        </w:rPr>
      </w:pPr>
      <w:r w:rsidRPr="002B4A51">
        <w:rPr>
          <w:rFonts w:ascii="Arial" w:hAnsi="Arial" w:cs="Arial"/>
          <w:b/>
          <w:sz w:val="24"/>
          <w:szCs w:val="24"/>
          <w:lang w:val="en-US"/>
        </w:rPr>
        <w:t xml:space="preserve">Supplementary Material </w:t>
      </w:r>
    </w:p>
    <w:p w14:paraId="2AABD3EF" w14:textId="77777777" w:rsidR="00163685" w:rsidRPr="002B4A51" w:rsidRDefault="00163685" w:rsidP="002B4A51">
      <w:pPr>
        <w:spacing w:after="0" w:line="360" w:lineRule="auto"/>
        <w:jc w:val="both"/>
        <w:rPr>
          <w:rFonts w:ascii="Arial" w:hAnsi="Arial" w:cs="Arial"/>
          <w:b/>
          <w:sz w:val="24"/>
          <w:szCs w:val="24"/>
          <w:lang w:val="en-US"/>
        </w:rPr>
      </w:pPr>
    </w:p>
    <w:p w14:paraId="1CEE31F9" w14:textId="7999676E" w:rsidR="00EE437E" w:rsidRPr="002B4A51" w:rsidRDefault="00EE437E" w:rsidP="002B4A51">
      <w:pPr>
        <w:spacing w:after="0" w:line="360" w:lineRule="auto"/>
        <w:jc w:val="both"/>
        <w:rPr>
          <w:rFonts w:ascii="Arial" w:hAnsi="Arial" w:cs="Arial"/>
          <w:sz w:val="24"/>
          <w:szCs w:val="24"/>
          <w:lang w:val="en-US"/>
        </w:rPr>
      </w:pPr>
      <w:r w:rsidRPr="002B4A51">
        <w:rPr>
          <w:rFonts w:ascii="Arial" w:hAnsi="Arial" w:cs="Arial"/>
          <w:b/>
          <w:sz w:val="24"/>
          <w:szCs w:val="24"/>
          <w:lang w:val="en-US"/>
        </w:rPr>
        <w:t xml:space="preserve">Table </w:t>
      </w:r>
      <w:r w:rsidR="002B4A51">
        <w:rPr>
          <w:rFonts w:ascii="Arial" w:hAnsi="Arial" w:cs="Arial"/>
          <w:b/>
          <w:sz w:val="24"/>
          <w:szCs w:val="24"/>
          <w:lang w:val="en-US"/>
        </w:rPr>
        <w:t>S</w:t>
      </w:r>
      <w:r w:rsidRPr="002B4A51">
        <w:rPr>
          <w:rFonts w:ascii="Arial" w:hAnsi="Arial" w:cs="Arial"/>
          <w:b/>
          <w:sz w:val="24"/>
          <w:szCs w:val="24"/>
          <w:lang w:val="en-US"/>
        </w:rPr>
        <w:t>1</w:t>
      </w:r>
      <w:r w:rsidRPr="002B4A51">
        <w:rPr>
          <w:rFonts w:ascii="Arial" w:hAnsi="Arial" w:cs="Arial"/>
          <w:sz w:val="24"/>
          <w:szCs w:val="24"/>
          <w:lang w:val="en-US"/>
        </w:rPr>
        <w:t xml:space="preserve">. Executive assessment task/test paradigms. </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089"/>
        <w:gridCol w:w="8863"/>
        <w:gridCol w:w="1417"/>
      </w:tblGrid>
      <w:tr w:rsidR="00EE437E" w:rsidRPr="002B4A51" w14:paraId="1116ADBF" w14:textId="77777777" w:rsidTr="00BC6E90">
        <w:tc>
          <w:tcPr>
            <w:tcW w:w="1062" w:type="pct"/>
            <w:tcBorders>
              <w:top w:val="single" w:sz="4" w:space="0" w:color="auto"/>
              <w:bottom w:val="single" w:sz="4" w:space="0" w:color="auto"/>
            </w:tcBorders>
          </w:tcPr>
          <w:p w14:paraId="78FFCF22" w14:textId="77777777" w:rsidR="00EE437E" w:rsidRPr="002B4A51" w:rsidRDefault="007F1142" w:rsidP="002B4A51">
            <w:pPr>
              <w:spacing w:line="360" w:lineRule="auto"/>
              <w:jc w:val="both"/>
              <w:rPr>
                <w:rFonts w:ascii="Arial" w:hAnsi="Arial" w:cs="Arial"/>
                <w:b/>
                <w:sz w:val="24"/>
                <w:szCs w:val="24"/>
              </w:rPr>
            </w:pPr>
            <w:r w:rsidRPr="002B4A51">
              <w:rPr>
                <w:rFonts w:ascii="Arial" w:hAnsi="Arial" w:cs="Arial"/>
                <w:b/>
                <w:sz w:val="24"/>
                <w:szCs w:val="24"/>
              </w:rPr>
              <w:t>Construct</w:t>
            </w:r>
          </w:p>
        </w:tc>
        <w:tc>
          <w:tcPr>
            <w:tcW w:w="665" w:type="pct"/>
            <w:tcBorders>
              <w:top w:val="single" w:sz="4" w:space="0" w:color="auto"/>
              <w:bottom w:val="single" w:sz="4" w:space="0" w:color="auto"/>
            </w:tcBorders>
          </w:tcPr>
          <w:p w14:paraId="08BA359B" w14:textId="77777777" w:rsidR="00EE437E" w:rsidRPr="002B4A51" w:rsidRDefault="007F1142" w:rsidP="002B4A51">
            <w:pPr>
              <w:spacing w:line="360" w:lineRule="auto"/>
              <w:jc w:val="both"/>
              <w:rPr>
                <w:rFonts w:ascii="Arial" w:hAnsi="Arial" w:cs="Arial"/>
                <w:b/>
                <w:sz w:val="24"/>
                <w:szCs w:val="24"/>
              </w:rPr>
            </w:pPr>
            <w:r w:rsidRPr="002B4A51">
              <w:rPr>
                <w:rFonts w:ascii="Arial" w:hAnsi="Arial" w:cs="Arial"/>
                <w:b/>
                <w:sz w:val="24"/>
                <w:szCs w:val="24"/>
              </w:rPr>
              <w:t>Paradigm</w:t>
            </w:r>
          </w:p>
        </w:tc>
        <w:tc>
          <w:tcPr>
            <w:tcW w:w="2821" w:type="pct"/>
            <w:tcBorders>
              <w:top w:val="single" w:sz="4" w:space="0" w:color="auto"/>
              <w:bottom w:val="single" w:sz="4" w:space="0" w:color="auto"/>
            </w:tcBorders>
          </w:tcPr>
          <w:p w14:paraId="6AA71E4C" w14:textId="77777777" w:rsidR="00EE437E" w:rsidRPr="002B4A51" w:rsidRDefault="007F1142" w:rsidP="002B4A51">
            <w:pPr>
              <w:spacing w:line="360" w:lineRule="auto"/>
              <w:jc w:val="both"/>
              <w:rPr>
                <w:rFonts w:ascii="Arial" w:hAnsi="Arial" w:cs="Arial"/>
                <w:b/>
                <w:sz w:val="24"/>
                <w:szCs w:val="24"/>
              </w:rPr>
            </w:pPr>
            <w:r w:rsidRPr="002B4A51">
              <w:rPr>
                <w:rFonts w:ascii="Arial" w:hAnsi="Arial" w:cs="Arial"/>
                <w:b/>
                <w:sz w:val="24"/>
                <w:szCs w:val="24"/>
              </w:rPr>
              <w:t>Paradigm description</w:t>
            </w:r>
          </w:p>
        </w:tc>
        <w:tc>
          <w:tcPr>
            <w:tcW w:w="451" w:type="pct"/>
            <w:tcBorders>
              <w:top w:val="single" w:sz="4" w:space="0" w:color="auto"/>
              <w:bottom w:val="single" w:sz="4" w:space="0" w:color="auto"/>
            </w:tcBorders>
          </w:tcPr>
          <w:p w14:paraId="28424325" w14:textId="77777777" w:rsidR="00EE437E" w:rsidRPr="002B4A51" w:rsidRDefault="007F1142" w:rsidP="002B4A51">
            <w:pPr>
              <w:spacing w:line="360" w:lineRule="auto"/>
              <w:jc w:val="both"/>
              <w:rPr>
                <w:rFonts w:ascii="Arial" w:hAnsi="Arial" w:cs="Arial"/>
                <w:b/>
                <w:sz w:val="24"/>
                <w:szCs w:val="24"/>
              </w:rPr>
            </w:pPr>
            <w:r w:rsidRPr="002B4A51">
              <w:rPr>
                <w:rFonts w:ascii="Arial" w:hAnsi="Arial" w:cs="Arial"/>
                <w:b/>
                <w:sz w:val="24"/>
                <w:szCs w:val="24"/>
              </w:rPr>
              <w:t xml:space="preserve">Common measures </w:t>
            </w:r>
          </w:p>
        </w:tc>
      </w:tr>
      <w:tr w:rsidR="00EE437E" w:rsidRPr="002B4A51" w14:paraId="451E6FE3" w14:textId="77777777" w:rsidTr="00BC6E90">
        <w:tc>
          <w:tcPr>
            <w:tcW w:w="1062" w:type="pct"/>
            <w:tcBorders>
              <w:top w:val="single" w:sz="4" w:space="0" w:color="auto"/>
            </w:tcBorders>
          </w:tcPr>
          <w:p w14:paraId="2E1440EB" w14:textId="77777777" w:rsidR="00EE437E" w:rsidRPr="002B4A51" w:rsidRDefault="00EE437E" w:rsidP="002B4A51">
            <w:pPr>
              <w:spacing w:line="360" w:lineRule="auto"/>
              <w:jc w:val="both"/>
              <w:rPr>
                <w:rFonts w:ascii="Arial" w:hAnsi="Arial" w:cs="Arial"/>
                <w:sz w:val="24"/>
                <w:szCs w:val="24"/>
                <w:lang w:val="en-US"/>
              </w:rPr>
            </w:pPr>
            <w:r w:rsidRPr="002B4A51">
              <w:rPr>
                <w:rFonts w:ascii="Arial" w:hAnsi="Arial" w:cs="Arial"/>
                <w:sz w:val="24"/>
                <w:szCs w:val="24"/>
                <w:lang w:val="en-US"/>
              </w:rPr>
              <w:t>Inhibitory control (response inhibition) + cognitive flexibility</w:t>
            </w:r>
            <w:r w:rsidRPr="002B4A51">
              <w:rPr>
                <w:rFonts w:ascii="Arial" w:hAnsi="Arial" w:cs="Arial"/>
                <w:sz w:val="24"/>
                <w:szCs w:val="24"/>
                <w:vertAlign w:val="superscript"/>
                <w:lang w:val="en-US"/>
              </w:rPr>
              <w:t>*,+</w:t>
            </w:r>
          </w:p>
        </w:tc>
        <w:tc>
          <w:tcPr>
            <w:tcW w:w="665" w:type="pct"/>
            <w:tcBorders>
              <w:top w:val="single" w:sz="4" w:space="0" w:color="auto"/>
            </w:tcBorders>
          </w:tcPr>
          <w:p w14:paraId="5A0B4A9D"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Simon Effect</w:t>
            </w:r>
            <w:r w:rsidR="00EE437E" w:rsidRPr="002B4A51">
              <w:rPr>
                <w:rFonts w:ascii="Arial" w:hAnsi="Arial" w:cs="Arial"/>
                <w:sz w:val="24"/>
                <w:szCs w:val="24"/>
                <w:vertAlign w:val="superscript"/>
              </w:rPr>
              <w:t>*,+</w:t>
            </w:r>
          </w:p>
        </w:tc>
        <w:tc>
          <w:tcPr>
            <w:tcW w:w="2821" w:type="pct"/>
            <w:tcBorders>
              <w:top w:val="single" w:sz="4" w:space="0" w:color="auto"/>
            </w:tcBorders>
          </w:tcPr>
          <w:p w14:paraId="7E3A61AB"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Three-block procedure. In the first (congruent) block, the participant is instructed to respond (e.g., press a button) on the same side as the target stimulus, to construct a prepotent response. In the second (incongruent) block, the participant is instructed to press a button on the opposite side of a stimulus (different from the first), to inhibit their prepotent response. In the third (mixed) block, the participant alternates between trials that present both stimuli, alternating between the different task rules. Performance in the second and third blocks suggests EF, since proficiency in the first block is common. </w:t>
            </w:r>
          </w:p>
        </w:tc>
        <w:tc>
          <w:tcPr>
            <w:tcW w:w="451" w:type="pct"/>
            <w:tcBorders>
              <w:top w:val="single" w:sz="4" w:space="0" w:color="auto"/>
            </w:tcBorders>
          </w:tcPr>
          <w:p w14:paraId="20C1C7E5"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or time </w:t>
            </w:r>
          </w:p>
        </w:tc>
      </w:tr>
      <w:tr w:rsidR="00EE437E" w:rsidRPr="002B4A51" w14:paraId="49F16BD3" w14:textId="77777777" w:rsidTr="00BC6E90">
        <w:tc>
          <w:tcPr>
            <w:tcW w:w="1062" w:type="pct"/>
            <w:vMerge w:val="restart"/>
          </w:tcPr>
          <w:p w14:paraId="3BB72D2F"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Inhibitory control: response inhibition</w:t>
            </w:r>
            <w:r w:rsidRPr="002B4A51">
              <w:rPr>
                <w:rFonts w:ascii="Arial" w:hAnsi="Arial" w:cs="Arial"/>
                <w:sz w:val="24"/>
                <w:szCs w:val="24"/>
                <w:vertAlign w:val="superscript"/>
              </w:rPr>
              <w:t>*,+</w:t>
            </w:r>
            <w:r w:rsidRPr="002B4A51">
              <w:rPr>
                <w:rFonts w:ascii="Arial" w:hAnsi="Arial" w:cs="Arial"/>
                <w:sz w:val="24"/>
                <w:szCs w:val="24"/>
              </w:rPr>
              <w:t xml:space="preserve"> </w:t>
            </w:r>
          </w:p>
        </w:tc>
        <w:tc>
          <w:tcPr>
            <w:tcW w:w="665" w:type="pct"/>
          </w:tcPr>
          <w:p w14:paraId="7D4D361E"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Go/</w:t>
            </w:r>
            <w:r w:rsidR="007F1142" w:rsidRPr="002B4A51">
              <w:rPr>
                <w:rFonts w:ascii="Arial" w:hAnsi="Arial" w:cs="Arial"/>
                <w:sz w:val="24"/>
                <w:szCs w:val="24"/>
              </w:rPr>
              <w:t>No-Go</w:t>
            </w:r>
            <w:r w:rsidRPr="002B4A51">
              <w:rPr>
                <w:rFonts w:ascii="Arial" w:hAnsi="Arial" w:cs="Arial"/>
                <w:sz w:val="24"/>
                <w:szCs w:val="24"/>
                <w:vertAlign w:val="superscript"/>
              </w:rPr>
              <w:t>*,+</w:t>
            </w:r>
          </w:p>
        </w:tc>
        <w:tc>
          <w:tcPr>
            <w:tcW w:w="2821" w:type="pct"/>
          </w:tcPr>
          <w:p w14:paraId="16221922"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It is instructed to press a button when target stimuli appear and not to press it under other stimuli.</w:t>
            </w:r>
          </w:p>
        </w:tc>
        <w:tc>
          <w:tcPr>
            <w:tcW w:w="451" w:type="pct"/>
          </w:tcPr>
          <w:p w14:paraId="352AE71F"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 or time</w:t>
            </w:r>
            <w:r w:rsidR="00EE437E" w:rsidRPr="002B4A51">
              <w:rPr>
                <w:rFonts w:ascii="Arial" w:hAnsi="Arial" w:cs="Arial"/>
                <w:sz w:val="24"/>
                <w:szCs w:val="24"/>
              </w:rPr>
              <w:t xml:space="preserve"> </w:t>
            </w:r>
          </w:p>
        </w:tc>
      </w:tr>
      <w:tr w:rsidR="00EE437E" w:rsidRPr="002B4A51" w14:paraId="54A249EC" w14:textId="77777777" w:rsidTr="00BC6E90">
        <w:tc>
          <w:tcPr>
            <w:tcW w:w="1062" w:type="pct"/>
            <w:vMerge/>
          </w:tcPr>
          <w:p w14:paraId="4DC25624" w14:textId="77777777" w:rsidR="00EE437E" w:rsidRPr="002B4A51" w:rsidRDefault="00EE437E" w:rsidP="002B4A51">
            <w:pPr>
              <w:spacing w:line="360" w:lineRule="auto"/>
              <w:jc w:val="both"/>
              <w:rPr>
                <w:rFonts w:ascii="Arial" w:hAnsi="Arial" w:cs="Arial"/>
                <w:sz w:val="24"/>
                <w:szCs w:val="24"/>
              </w:rPr>
            </w:pPr>
          </w:p>
        </w:tc>
        <w:tc>
          <w:tcPr>
            <w:tcW w:w="665" w:type="pct"/>
          </w:tcPr>
          <w:p w14:paraId="336F90C6"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Delay </w:t>
            </w:r>
            <w:r w:rsidR="007F1142" w:rsidRPr="002B4A51">
              <w:rPr>
                <w:rFonts w:ascii="Arial" w:hAnsi="Arial" w:cs="Arial"/>
                <w:sz w:val="24"/>
                <w:szCs w:val="24"/>
              </w:rPr>
              <w:t>G</w:t>
            </w:r>
            <w:r w:rsidRPr="002B4A51">
              <w:rPr>
                <w:rFonts w:ascii="Arial" w:hAnsi="Arial" w:cs="Arial"/>
                <w:sz w:val="24"/>
                <w:szCs w:val="24"/>
              </w:rPr>
              <w:t>ratification</w:t>
            </w:r>
            <w:r w:rsidRPr="002B4A51">
              <w:rPr>
                <w:rFonts w:ascii="Arial" w:hAnsi="Arial" w:cs="Arial"/>
                <w:sz w:val="24"/>
                <w:szCs w:val="24"/>
                <w:vertAlign w:val="superscript"/>
              </w:rPr>
              <w:t>*,+</w:t>
            </w:r>
          </w:p>
        </w:tc>
        <w:tc>
          <w:tcPr>
            <w:tcW w:w="2821" w:type="pct"/>
          </w:tcPr>
          <w:p w14:paraId="5A11D2C5"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The aim is for the person being evaluated to expect a more rewarding result. </w:t>
            </w:r>
          </w:p>
        </w:tc>
        <w:tc>
          <w:tcPr>
            <w:tcW w:w="451" w:type="pct"/>
          </w:tcPr>
          <w:p w14:paraId="78CFBD68"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 xml:space="preserve">Acertos </w:t>
            </w:r>
          </w:p>
        </w:tc>
      </w:tr>
      <w:tr w:rsidR="00EE437E" w:rsidRPr="002B4A51" w14:paraId="7A0C5402" w14:textId="77777777" w:rsidTr="00BC6E90">
        <w:tc>
          <w:tcPr>
            <w:tcW w:w="1062" w:type="pct"/>
            <w:vMerge w:val="restart"/>
          </w:tcPr>
          <w:p w14:paraId="70FAC869"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Inhibitory control: suppression of interference</w:t>
            </w:r>
            <w:r w:rsidRPr="002B4A51">
              <w:rPr>
                <w:rFonts w:ascii="Arial" w:hAnsi="Arial" w:cs="Arial"/>
                <w:sz w:val="24"/>
                <w:szCs w:val="24"/>
                <w:vertAlign w:val="superscript"/>
                <w:lang w:val="en-US"/>
              </w:rPr>
              <w:t>*,+</w:t>
            </w:r>
          </w:p>
        </w:tc>
        <w:tc>
          <w:tcPr>
            <w:tcW w:w="665" w:type="pct"/>
          </w:tcPr>
          <w:p w14:paraId="5FE750A4"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Stroop</w:t>
            </w:r>
            <w:r w:rsidRPr="002B4A51">
              <w:rPr>
                <w:rFonts w:ascii="Arial" w:hAnsi="Arial" w:cs="Arial"/>
                <w:sz w:val="24"/>
                <w:szCs w:val="24"/>
                <w:vertAlign w:val="superscript"/>
              </w:rPr>
              <w:t xml:space="preserve">*,+ </w:t>
            </w:r>
          </w:p>
        </w:tc>
        <w:tc>
          <w:tcPr>
            <w:tcW w:w="2821" w:type="pct"/>
          </w:tcPr>
          <w:p w14:paraId="480D7E04"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You are instructed to say or select something that is the opposite (incongruent) to what is perceived. You need to overcome automatic tendencies to respond based on your perceptions and respond according to the objectives established in the task.</w:t>
            </w:r>
          </w:p>
        </w:tc>
        <w:tc>
          <w:tcPr>
            <w:tcW w:w="451" w:type="pct"/>
          </w:tcPr>
          <w:p w14:paraId="48A84282"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 or time</w:t>
            </w:r>
            <w:r w:rsidR="00EE437E" w:rsidRPr="002B4A51">
              <w:rPr>
                <w:rFonts w:ascii="Arial" w:hAnsi="Arial" w:cs="Arial"/>
                <w:sz w:val="24"/>
                <w:szCs w:val="24"/>
              </w:rPr>
              <w:t xml:space="preserve"> </w:t>
            </w:r>
          </w:p>
        </w:tc>
      </w:tr>
      <w:tr w:rsidR="00EE437E" w:rsidRPr="002B4A51" w14:paraId="1DBCEF12" w14:textId="77777777" w:rsidTr="00BC6E90">
        <w:tc>
          <w:tcPr>
            <w:tcW w:w="1062" w:type="pct"/>
            <w:vMerge/>
            <w:tcBorders>
              <w:bottom w:val="single" w:sz="4" w:space="0" w:color="auto"/>
            </w:tcBorders>
          </w:tcPr>
          <w:p w14:paraId="45FFC850" w14:textId="77777777" w:rsidR="00EE437E" w:rsidRPr="002B4A51" w:rsidRDefault="00EE437E" w:rsidP="002B4A51">
            <w:pPr>
              <w:spacing w:line="360" w:lineRule="auto"/>
              <w:jc w:val="both"/>
              <w:rPr>
                <w:rFonts w:ascii="Arial" w:hAnsi="Arial" w:cs="Arial"/>
                <w:sz w:val="24"/>
                <w:szCs w:val="24"/>
              </w:rPr>
            </w:pPr>
          </w:p>
        </w:tc>
        <w:tc>
          <w:tcPr>
            <w:tcW w:w="665" w:type="pct"/>
            <w:tcBorders>
              <w:bottom w:val="single" w:sz="4" w:space="0" w:color="auto"/>
            </w:tcBorders>
          </w:tcPr>
          <w:p w14:paraId="00B47B02"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 xml:space="preserve">Antisaccade </w:t>
            </w:r>
            <w:r w:rsidR="007F1142" w:rsidRPr="002B4A51">
              <w:rPr>
                <w:rFonts w:ascii="Arial" w:hAnsi="Arial" w:cs="Arial"/>
                <w:sz w:val="24"/>
                <w:szCs w:val="24"/>
              </w:rPr>
              <w:t>T</w:t>
            </w:r>
            <w:r w:rsidRPr="002B4A51">
              <w:rPr>
                <w:rFonts w:ascii="Arial" w:hAnsi="Arial" w:cs="Arial"/>
                <w:sz w:val="24"/>
                <w:szCs w:val="24"/>
              </w:rPr>
              <w:t>ask</w:t>
            </w:r>
            <w:r w:rsidRPr="002B4A51">
              <w:rPr>
                <w:rFonts w:ascii="Arial" w:hAnsi="Arial" w:cs="Arial"/>
                <w:sz w:val="24"/>
                <w:szCs w:val="24"/>
                <w:vertAlign w:val="superscript"/>
              </w:rPr>
              <w:t>+</w:t>
            </w:r>
          </w:p>
        </w:tc>
        <w:tc>
          <w:tcPr>
            <w:tcW w:w="2821" w:type="pct"/>
            <w:tcBorders>
              <w:bottom w:val="single" w:sz="4" w:space="0" w:color="auto"/>
            </w:tcBorders>
          </w:tcPr>
          <w:p w14:paraId="26DFBC51"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It is instructed to inhibit (anti-saccade movement) the tendency to look in the direction of the emergence of a stimulus (pro-saccade movement). </w:t>
            </w:r>
          </w:p>
        </w:tc>
        <w:tc>
          <w:tcPr>
            <w:tcW w:w="451" w:type="pct"/>
            <w:tcBorders>
              <w:bottom w:val="single" w:sz="4" w:space="0" w:color="auto"/>
            </w:tcBorders>
          </w:tcPr>
          <w:p w14:paraId="704838EE"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 or time</w:t>
            </w:r>
            <w:r w:rsidR="00EE437E" w:rsidRPr="002B4A51">
              <w:rPr>
                <w:rFonts w:ascii="Arial" w:hAnsi="Arial" w:cs="Arial"/>
                <w:sz w:val="24"/>
                <w:szCs w:val="24"/>
              </w:rPr>
              <w:t xml:space="preserve"> </w:t>
            </w:r>
          </w:p>
        </w:tc>
      </w:tr>
      <w:tr w:rsidR="00EE437E" w:rsidRPr="002B4A51" w14:paraId="0B8CC6C7" w14:textId="77777777" w:rsidTr="00BC6E90">
        <w:tc>
          <w:tcPr>
            <w:tcW w:w="1062" w:type="pct"/>
            <w:vMerge w:val="restart"/>
            <w:tcBorders>
              <w:top w:val="single" w:sz="4" w:space="0" w:color="auto"/>
            </w:tcBorders>
          </w:tcPr>
          <w:p w14:paraId="742C5748"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Cognitive flexibility</w:t>
            </w:r>
            <w:r w:rsidR="00EE437E" w:rsidRPr="002B4A51">
              <w:rPr>
                <w:rFonts w:ascii="Arial" w:hAnsi="Arial" w:cs="Arial"/>
                <w:sz w:val="24"/>
                <w:szCs w:val="24"/>
                <w:vertAlign w:val="superscript"/>
              </w:rPr>
              <w:t>*,+</w:t>
            </w:r>
          </w:p>
          <w:p w14:paraId="641D6BE0" w14:textId="77777777" w:rsidR="00EE437E" w:rsidRPr="002B4A51" w:rsidRDefault="00EE437E" w:rsidP="002B4A51">
            <w:pPr>
              <w:spacing w:line="360" w:lineRule="auto"/>
              <w:jc w:val="both"/>
              <w:rPr>
                <w:rFonts w:ascii="Arial" w:hAnsi="Arial" w:cs="Arial"/>
                <w:sz w:val="24"/>
                <w:szCs w:val="24"/>
              </w:rPr>
            </w:pPr>
          </w:p>
          <w:p w14:paraId="57C060FE" w14:textId="77777777" w:rsidR="00EE437E" w:rsidRPr="002B4A51" w:rsidRDefault="00EE437E" w:rsidP="002B4A51">
            <w:pPr>
              <w:spacing w:line="360" w:lineRule="auto"/>
              <w:jc w:val="both"/>
              <w:rPr>
                <w:rFonts w:ascii="Arial" w:hAnsi="Arial" w:cs="Arial"/>
                <w:sz w:val="24"/>
                <w:szCs w:val="24"/>
              </w:rPr>
            </w:pPr>
          </w:p>
        </w:tc>
        <w:tc>
          <w:tcPr>
            <w:tcW w:w="665" w:type="pct"/>
            <w:tcBorders>
              <w:top w:val="single" w:sz="4" w:space="0" w:color="auto"/>
            </w:tcBorders>
          </w:tcPr>
          <w:p w14:paraId="0A55CA57"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Flanker task</w:t>
            </w:r>
            <w:r w:rsidRPr="002B4A51">
              <w:rPr>
                <w:rFonts w:ascii="Arial" w:hAnsi="Arial" w:cs="Arial"/>
                <w:sz w:val="24"/>
                <w:szCs w:val="24"/>
                <w:vertAlign w:val="superscript"/>
              </w:rPr>
              <w:t xml:space="preserve">+ </w:t>
            </w:r>
          </w:p>
        </w:tc>
        <w:tc>
          <w:tcPr>
            <w:tcW w:w="2821" w:type="pct"/>
            <w:tcBorders>
              <w:top w:val="single" w:sz="4" w:space="0" w:color="auto"/>
            </w:tcBorders>
          </w:tcPr>
          <w:p w14:paraId="18402BD2"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The subject is instructed to pay attention to the target stimulus and ignore the flankers (surrounding distractor stimuli). A specific response is required if the target is congruent to the flankers (e.g., same direction or shape), incongruent (e.g., opposite directions), or neutral (unrelated; e.g., an arrow between dashes).</w:t>
            </w:r>
            <w:r w:rsidR="007F1142" w:rsidRPr="002B4A51">
              <w:rPr>
                <w:rFonts w:ascii="Arial" w:hAnsi="Arial" w:cs="Arial"/>
                <w:sz w:val="24"/>
                <w:szCs w:val="24"/>
                <w:lang w:val="en-US"/>
              </w:rPr>
              <w:t xml:space="preserve"> </w:t>
            </w:r>
          </w:p>
        </w:tc>
        <w:tc>
          <w:tcPr>
            <w:tcW w:w="451" w:type="pct"/>
            <w:tcBorders>
              <w:top w:val="single" w:sz="4" w:space="0" w:color="auto"/>
            </w:tcBorders>
          </w:tcPr>
          <w:p w14:paraId="70DDE450"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 or time</w:t>
            </w:r>
            <w:r w:rsidR="00EE437E" w:rsidRPr="002B4A51">
              <w:rPr>
                <w:rFonts w:ascii="Arial" w:hAnsi="Arial" w:cs="Arial"/>
                <w:sz w:val="24"/>
                <w:szCs w:val="24"/>
              </w:rPr>
              <w:t xml:space="preserve"> </w:t>
            </w:r>
          </w:p>
        </w:tc>
      </w:tr>
      <w:tr w:rsidR="00EE437E" w:rsidRPr="002B4A51" w14:paraId="6753E16C" w14:textId="77777777" w:rsidTr="00BC6E90">
        <w:tc>
          <w:tcPr>
            <w:tcW w:w="1062" w:type="pct"/>
            <w:vMerge/>
          </w:tcPr>
          <w:p w14:paraId="32B2818F" w14:textId="77777777" w:rsidR="00EE437E" w:rsidRPr="002B4A51" w:rsidRDefault="00EE437E" w:rsidP="002B4A51">
            <w:pPr>
              <w:spacing w:line="360" w:lineRule="auto"/>
              <w:jc w:val="both"/>
              <w:rPr>
                <w:rFonts w:ascii="Arial" w:hAnsi="Arial" w:cs="Arial"/>
                <w:sz w:val="24"/>
                <w:szCs w:val="24"/>
              </w:rPr>
            </w:pPr>
          </w:p>
        </w:tc>
        <w:tc>
          <w:tcPr>
            <w:tcW w:w="665" w:type="pct"/>
          </w:tcPr>
          <w:p w14:paraId="05210672" w14:textId="77777777" w:rsidR="00EE437E" w:rsidRPr="002B4A51" w:rsidRDefault="00EE437E"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Unusual </w:t>
            </w:r>
            <w:r w:rsidR="007F1142" w:rsidRPr="002B4A51">
              <w:rPr>
                <w:rFonts w:ascii="Arial" w:hAnsi="Arial" w:cs="Arial"/>
                <w:sz w:val="24"/>
                <w:szCs w:val="24"/>
                <w:lang w:val="en-US"/>
              </w:rPr>
              <w:t>Uses or Design Fluency</w:t>
            </w:r>
            <w:r w:rsidR="007F1142" w:rsidRPr="002B4A51">
              <w:rPr>
                <w:rFonts w:ascii="Arial" w:hAnsi="Arial" w:cs="Arial"/>
                <w:sz w:val="24"/>
                <w:szCs w:val="24"/>
                <w:vertAlign w:val="superscript"/>
                <w:lang w:val="en-US"/>
              </w:rPr>
              <w:t>+</w:t>
            </w:r>
          </w:p>
        </w:tc>
        <w:tc>
          <w:tcPr>
            <w:tcW w:w="2821" w:type="pct"/>
          </w:tcPr>
          <w:p w14:paraId="5F00FF6E"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lang w:val="en-US"/>
              </w:rPr>
              <w:t xml:space="preserve">The student is instructed to assign (e.g., draw or say) the most unusual use to a presented stimulus. </w:t>
            </w:r>
            <w:r w:rsidRPr="002B4A51">
              <w:rPr>
                <w:rFonts w:ascii="Arial" w:hAnsi="Arial" w:cs="Arial"/>
                <w:sz w:val="24"/>
                <w:szCs w:val="24"/>
              </w:rPr>
              <w:t>The number of responses is measured by time.</w:t>
            </w:r>
          </w:p>
        </w:tc>
        <w:tc>
          <w:tcPr>
            <w:tcW w:w="451" w:type="pct"/>
          </w:tcPr>
          <w:p w14:paraId="44540BC2"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in time </w:t>
            </w:r>
            <w:r w:rsidR="00EE437E" w:rsidRPr="002B4A51">
              <w:rPr>
                <w:rFonts w:ascii="Arial" w:hAnsi="Arial" w:cs="Arial"/>
                <w:sz w:val="24"/>
                <w:szCs w:val="24"/>
              </w:rPr>
              <w:t xml:space="preserve"> </w:t>
            </w:r>
          </w:p>
        </w:tc>
      </w:tr>
      <w:tr w:rsidR="00444B2F" w:rsidRPr="002B4A51" w14:paraId="542FCB6B" w14:textId="77777777" w:rsidTr="00BC6E90">
        <w:tc>
          <w:tcPr>
            <w:tcW w:w="1062" w:type="pct"/>
            <w:vMerge/>
          </w:tcPr>
          <w:p w14:paraId="17FBE52C" w14:textId="77777777" w:rsidR="00444B2F" w:rsidRPr="002B4A51" w:rsidRDefault="00444B2F" w:rsidP="002B4A51">
            <w:pPr>
              <w:spacing w:line="360" w:lineRule="auto"/>
              <w:jc w:val="both"/>
              <w:rPr>
                <w:rFonts w:ascii="Arial" w:hAnsi="Arial" w:cs="Arial"/>
                <w:sz w:val="24"/>
                <w:szCs w:val="24"/>
              </w:rPr>
            </w:pPr>
          </w:p>
        </w:tc>
        <w:tc>
          <w:tcPr>
            <w:tcW w:w="665" w:type="pct"/>
          </w:tcPr>
          <w:p w14:paraId="359382E8"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Verbal </w:t>
            </w:r>
            <w:r w:rsidR="007F1142" w:rsidRPr="002B4A51">
              <w:rPr>
                <w:rFonts w:ascii="Arial" w:hAnsi="Arial" w:cs="Arial"/>
                <w:sz w:val="24"/>
                <w:szCs w:val="24"/>
              </w:rPr>
              <w:t>F</w:t>
            </w:r>
            <w:r w:rsidRPr="002B4A51">
              <w:rPr>
                <w:rFonts w:ascii="Arial" w:hAnsi="Arial" w:cs="Arial"/>
                <w:sz w:val="24"/>
                <w:szCs w:val="24"/>
              </w:rPr>
              <w:t>luency</w:t>
            </w:r>
            <w:r w:rsidRPr="002B4A51">
              <w:rPr>
                <w:rFonts w:ascii="Arial" w:hAnsi="Arial" w:cs="Arial"/>
                <w:sz w:val="24"/>
                <w:szCs w:val="24"/>
                <w:vertAlign w:val="superscript"/>
              </w:rPr>
              <w:t>+</w:t>
            </w:r>
            <w:r w:rsidRPr="002B4A51">
              <w:rPr>
                <w:rFonts w:ascii="Arial" w:hAnsi="Arial" w:cs="Arial"/>
                <w:sz w:val="24"/>
                <w:szCs w:val="24"/>
              </w:rPr>
              <w:t xml:space="preserve"> </w:t>
            </w:r>
          </w:p>
        </w:tc>
        <w:tc>
          <w:tcPr>
            <w:tcW w:w="2821" w:type="pct"/>
          </w:tcPr>
          <w:p w14:paraId="7711C16A" w14:textId="77777777" w:rsidR="00444B2F"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The student is instructed to name a number of items belonging to a semantic category (e.g., animals) or a phonological category (e.g., items beginning with S). ​​The two tasks can be performed successively. The author emphasizes that flexible minds will have an easier time finding atypical items.</w:t>
            </w:r>
          </w:p>
        </w:tc>
        <w:tc>
          <w:tcPr>
            <w:tcW w:w="451" w:type="pct"/>
          </w:tcPr>
          <w:p w14:paraId="7F35F61E"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in time  </w:t>
            </w:r>
          </w:p>
        </w:tc>
      </w:tr>
      <w:tr w:rsidR="00444B2F" w:rsidRPr="002B4A51" w14:paraId="1E11E787" w14:textId="77777777" w:rsidTr="00BC6E90">
        <w:tc>
          <w:tcPr>
            <w:tcW w:w="1062" w:type="pct"/>
            <w:vMerge/>
            <w:tcBorders>
              <w:bottom w:val="single" w:sz="4" w:space="0" w:color="auto"/>
            </w:tcBorders>
          </w:tcPr>
          <w:p w14:paraId="489B9EB6" w14:textId="77777777" w:rsidR="00444B2F" w:rsidRPr="002B4A51" w:rsidRDefault="00444B2F" w:rsidP="002B4A51">
            <w:pPr>
              <w:spacing w:line="360" w:lineRule="auto"/>
              <w:jc w:val="both"/>
              <w:rPr>
                <w:rFonts w:ascii="Arial" w:hAnsi="Arial" w:cs="Arial"/>
                <w:sz w:val="24"/>
                <w:szCs w:val="24"/>
              </w:rPr>
            </w:pPr>
          </w:p>
        </w:tc>
        <w:tc>
          <w:tcPr>
            <w:tcW w:w="665" w:type="pct"/>
            <w:tcBorders>
              <w:bottom w:val="single" w:sz="4" w:space="0" w:color="auto"/>
            </w:tcBorders>
          </w:tcPr>
          <w:p w14:paraId="152499F7" w14:textId="77777777" w:rsidR="00444B2F" w:rsidRPr="002B4A51" w:rsidRDefault="00444B2F" w:rsidP="002B4A51">
            <w:pPr>
              <w:spacing w:line="360" w:lineRule="auto"/>
              <w:jc w:val="both"/>
              <w:rPr>
                <w:rFonts w:ascii="Arial" w:hAnsi="Arial" w:cs="Arial"/>
                <w:sz w:val="24"/>
                <w:szCs w:val="24"/>
                <w:vertAlign w:val="superscript"/>
              </w:rPr>
            </w:pPr>
            <w:r w:rsidRPr="002B4A51">
              <w:rPr>
                <w:rFonts w:ascii="Arial" w:hAnsi="Arial" w:cs="Arial"/>
                <w:sz w:val="24"/>
                <w:szCs w:val="24"/>
              </w:rPr>
              <w:t>Task-</w:t>
            </w:r>
            <w:r w:rsidR="00BC6E90" w:rsidRPr="002B4A51">
              <w:rPr>
                <w:rFonts w:ascii="Arial" w:hAnsi="Arial" w:cs="Arial"/>
                <w:sz w:val="24"/>
                <w:szCs w:val="24"/>
              </w:rPr>
              <w:t>S</w:t>
            </w:r>
            <w:r w:rsidRPr="002B4A51">
              <w:rPr>
                <w:rFonts w:ascii="Arial" w:hAnsi="Arial" w:cs="Arial"/>
                <w:sz w:val="24"/>
                <w:szCs w:val="24"/>
              </w:rPr>
              <w:t>witching</w:t>
            </w:r>
            <w:r w:rsidRPr="002B4A51">
              <w:rPr>
                <w:rFonts w:ascii="Arial" w:hAnsi="Arial" w:cs="Arial"/>
                <w:sz w:val="24"/>
                <w:szCs w:val="24"/>
                <w:vertAlign w:val="superscript"/>
              </w:rPr>
              <w:t>+</w:t>
            </w:r>
          </w:p>
        </w:tc>
        <w:tc>
          <w:tcPr>
            <w:tcW w:w="2821" w:type="pct"/>
            <w:tcBorders>
              <w:bottom w:val="single" w:sz="4" w:space="0" w:color="auto"/>
            </w:tcBorders>
          </w:tcPr>
          <w:p w14:paraId="38335726" w14:textId="77777777" w:rsidR="00444B2F"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Alternate substitution between one response pattern, spontaneous or taught, for another is requested.</w:t>
            </w:r>
          </w:p>
        </w:tc>
        <w:tc>
          <w:tcPr>
            <w:tcW w:w="451" w:type="pct"/>
            <w:tcBorders>
              <w:bottom w:val="single" w:sz="4" w:space="0" w:color="auto"/>
            </w:tcBorders>
          </w:tcPr>
          <w:p w14:paraId="24A30C0C"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in/or time  </w:t>
            </w:r>
          </w:p>
        </w:tc>
      </w:tr>
      <w:tr w:rsidR="00EE437E" w:rsidRPr="002B4A51" w14:paraId="311A6787" w14:textId="77777777" w:rsidTr="00BC6E90">
        <w:tc>
          <w:tcPr>
            <w:tcW w:w="1062" w:type="pct"/>
            <w:vMerge w:val="restart"/>
            <w:tcBorders>
              <w:top w:val="single" w:sz="4" w:space="0" w:color="auto"/>
            </w:tcBorders>
          </w:tcPr>
          <w:p w14:paraId="2FEBDE3E"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Working memory</w:t>
            </w:r>
            <w:r w:rsidR="00EE437E" w:rsidRPr="002B4A51">
              <w:rPr>
                <w:rFonts w:ascii="Arial" w:hAnsi="Arial" w:cs="Arial"/>
                <w:sz w:val="24"/>
                <w:szCs w:val="24"/>
                <w:vertAlign w:val="superscript"/>
              </w:rPr>
              <w:t>*,+</w:t>
            </w:r>
          </w:p>
        </w:tc>
        <w:tc>
          <w:tcPr>
            <w:tcW w:w="665" w:type="pct"/>
            <w:tcBorders>
              <w:top w:val="single" w:sz="4" w:space="0" w:color="auto"/>
            </w:tcBorders>
          </w:tcPr>
          <w:p w14:paraId="06B9ACD8" w14:textId="77777777" w:rsidR="00EE437E" w:rsidRPr="002B4A51" w:rsidRDefault="00BC6E90" w:rsidP="002B4A51">
            <w:pPr>
              <w:spacing w:line="360" w:lineRule="auto"/>
              <w:jc w:val="both"/>
              <w:rPr>
                <w:rFonts w:ascii="Arial" w:hAnsi="Arial" w:cs="Arial"/>
                <w:sz w:val="24"/>
                <w:szCs w:val="24"/>
                <w:lang w:val="en-US"/>
              </w:rPr>
            </w:pPr>
            <w:r w:rsidRPr="002B4A51">
              <w:rPr>
                <w:rFonts w:ascii="Arial" w:hAnsi="Arial" w:cs="Arial"/>
                <w:sz w:val="24"/>
                <w:szCs w:val="24"/>
                <w:lang w:val="en-US"/>
              </w:rPr>
              <w:t>Digit Span or Word Span</w:t>
            </w:r>
            <w:r w:rsidRPr="002B4A51">
              <w:rPr>
                <w:rFonts w:ascii="Arial" w:hAnsi="Arial" w:cs="Arial"/>
                <w:sz w:val="24"/>
                <w:szCs w:val="24"/>
                <w:vertAlign w:val="superscript"/>
                <w:lang w:val="en-US"/>
              </w:rPr>
              <w:t>*,+</w:t>
            </w:r>
          </w:p>
        </w:tc>
        <w:tc>
          <w:tcPr>
            <w:tcW w:w="2821" w:type="pct"/>
            <w:tcBorders>
              <w:top w:val="single" w:sz="4" w:space="0" w:color="auto"/>
            </w:tcBorders>
          </w:tcPr>
          <w:p w14:paraId="1C28966A"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You are instructed to repeat a sequence of digits, words or phrases in the same order and/or in the reverse order of what is presented verbally. </w:t>
            </w:r>
          </w:p>
        </w:tc>
        <w:tc>
          <w:tcPr>
            <w:tcW w:w="451" w:type="pct"/>
            <w:tcBorders>
              <w:top w:val="single" w:sz="4" w:space="0" w:color="auto"/>
            </w:tcBorders>
          </w:tcPr>
          <w:p w14:paraId="5C1F1FF8"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EE437E" w:rsidRPr="002B4A51" w14:paraId="09FCD492" w14:textId="77777777" w:rsidTr="00BC6E90">
        <w:tc>
          <w:tcPr>
            <w:tcW w:w="1062" w:type="pct"/>
            <w:vMerge/>
          </w:tcPr>
          <w:p w14:paraId="5D02783D" w14:textId="77777777" w:rsidR="00EE437E" w:rsidRPr="002B4A51" w:rsidRDefault="00EE437E" w:rsidP="002B4A51">
            <w:pPr>
              <w:spacing w:line="360" w:lineRule="auto"/>
              <w:jc w:val="both"/>
              <w:rPr>
                <w:rFonts w:ascii="Arial" w:hAnsi="Arial" w:cs="Arial"/>
                <w:sz w:val="24"/>
                <w:szCs w:val="24"/>
              </w:rPr>
            </w:pPr>
          </w:p>
        </w:tc>
        <w:tc>
          <w:tcPr>
            <w:tcW w:w="665" w:type="pct"/>
          </w:tcPr>
          <w:p w14:paraId="42CB9FF7" w14:textId="77777777" w:rsidR="00EE437E" w:rsidRPr="002B4A51" w:rsidRDefault="00BC6E90" w:rsidP="002B4A51">
            <w:pPr>
              <w:spacing w:line="360" w:lineRule="auto"/>
              <w:jc w:val="both"/>
              <w:rPr>
                <w:rFonts w:ascii="Arial" w:hAnsi="Arial" w:cs="Arial"/>
                <w:sz w:val="24"/>
                <w:szCs w:val="24"/>
                <w:lang w:val="en-US"/>
              </w:rPr>
            </w:pPr>
            <w:r w:rsidRPr="002B4A51">
              <w:rPr>
                <w:rFonts w:ascii="Arial" w:hAnsi="Arial" w:cs="Arial"/>
                <w:sz w:val="24"/>
                <w:szCs w:val="24"/>
                <w:lang w:val="en-US"/>
              </w:rPr>
              <w:t>Corsi Blocks or Dot Matrix</w:t>
            </w:r>
            <w:r w:rsidRPr="002B4A51">
              <w:rPr>
                <w:rFonts w:ascii="Arial" w:hAnsi="Arial" w:cs="Arial"/>
                <w:sz w:val="24"/>
                <w:szCs w:val="24"/>
                <w:vertAlign w:val="superscript"/>
                <w:lang w:val="en-US"/>
              </w:rPr>
              <w:t>*,+</w:t>
            </w:r>
          </w:p>
        </w:tc>
        <w:tc>
          <w:tcPr>
            <w:tcW w:w="2821" w:type="pct"/>
          </w:tcPr>
          <w:p w14:paraId="18C49E79"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In a spatial distribution of stimuli (blocks, objects or points), one is instructed to remember, in the same or reverse order, the sequence of those presented (non-verbal presentation).</w:t>
            </w:r>
          </w:p>
        </w:tc>
        <w:tc>
          <w:tcPr>
            <w:tcW w:w="451" w:type="pct"/>
          </w:tcPr>
          <w:p w14:paraId="4A005655"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EE437E" w:rsidRPr="002B4A51" w14:paraId="04E77D9D" w14:textId="77777777" w:rsidTr="00BC6E90">
        <w:tc>
          <w:tcPr>
            <w:tcW w:w="1062" w:type="pct"/>
            <w:vMerge/>
          </w:tcPr>
          <w:p w14:paraId="4373A8C6" w14:textId="77777777" w:rsidR="00EE437E" w:rsidRPr="002B4A51" w:rsidRDefault="00EE437E" w:rsidP="002B4A51">
            <w:pPr>
              <w:spacing w:line="360" w:lineRule="auto"/>
              <w:jc w:val="both"/>
              <w:rPr>
                <w:rFonts w:ascii="Arial" w:hAnsi="Arial" w:cs="Arial"/>
                <w:sz w:val="24"/>
                <w:szCs w:val="24"/>
              </w:rPr>
            </w:pPr>
          </w:p>
        </w:tc>
        <w:tc>
          <w:tcPr>
            <w:tcW w:w="665" w:type="pct"/>
          </w:tcPr>
          <w:p w14:paraId="471E9590"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Self</w:t>
            </w:r>
            <w:r w:rsidR="00BC6E90" w:rsidRPr="002B4A51">
              <w:rPr>
                <w:rFonts w:ascii="Arial" w:hAnsi="Arial" w:cs="Arial"/>
                <w:sz w:val="24"/>
                <w:szCs w:val="24"/>
              </w:rPr>
              <w:t>-Ordered Pointing</w:t>
            </w:r>
            <w:r w:rsidR="00BC6E90" w:rsidRPr="002B4A51">
              <w:rPr>
                <w:rFonts w:ascii="Arial" w:hAnsi="Arial" w:cs="Arial"/>
                <w:sz w:val="24"/>
                <w:szCs w:val="24"/>
                <w:vertAlign w:val="superscript"/>
              </w:rPr>
              <w:t>+</w:t>
            </w:r>
            <w:r w:rsidR="00BC6E90" w:rsidRPr="002B4A51">
              <w:rPr>
                <w:rFonts w:ascii="Arial" w:hAnsi="Arial" w:cs="Arial"/>
                <w:sz w:val="24"/>
                <w:szCs w:val="24"/>
              </w:rPr>
              <w:t xml:space="preserve"> </w:t>
            </w:r>
          </w:p>
        </w:tc>
        <w:tc>
          <w:tcPr>
            <w:tcW w:w="2821" w:type="pct"/>
          </w:tcPr>
          <w:p w14:paraId="7B5C82C9"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In a spatial distribution of boxes, you are instructed to find an item hidden in one of them. The objective is to not touch a previously chosen box again. </w:t>
            </w:r>
          </w:p>
        </w:tc>
        <w:tc>
          <w:tcPr>
            <w:tcW w:w="451" w:type="pct"/>
          </w:tcPr>
          <w:p w14:paraId="2712522E"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EE437E" w:rsidRPr="002B4A51" w14:paraId="4280C333" w14:textId="77777777" w:rsidTr="00BC6E90">
        <w:tc>
          <w:tcPr>
            <w:tcW w:w="1062" w:type="pct"/>
            <w:tcBorders>
              <w:bottom w:val="single" w:sz="4" w:space="0" w:color="auto"/>
            </w:tcBorders>
          </w:tcPr>
          <w:p w14:paraId="3FCAADC7"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Working memory + sustained attention + inhibitory control (interference suppression)</w:t>
            </w:r>
            <w:r w:rsidRPr="002B4A51">
              <w:rPr>
                <w:rFonts w:ascii="Arial" w:hAnsi="Arial" w:cs="Arial"/>
                <w:sz w:val="24"/>
                <w:szCs w:val="24"/>
                <w:vertAlign w:val="superscript"/>
                <w:lang w:val="en-US"/>
              </w:rPr>
              <w:t xml:space="preserve">*,+ </w:t>
            </w:r>
          </w:p>
        </w:tc>
        <w:tc>
          <w:tcPr>
            <w:tcW w:w="665" w:type="pct"/>
            <w:tcBorders>
              <w:bottom w:val="single" w:sz="4" w:space="0" w:color="auto"/>
            </w:tcBorders>
          </w:tcPr>
          <w:p w14:paraId="5D79788B"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CPT</w:t>
            </w:r>
            <w:r w:rsidRPr="002B4A51">
              <w:rPr>
                <w:rFonts w:ascii="Arial" w:hAnsi="Arial" w:cs="Arial"/>
                <w:sz w:val="24"/>
                <w:szCs w:val="24"/>
                <w:vertAlign w:val="superscript"/>
              </w:rPr>
              <w:t>+</w:t>
            </w:r>
          </w:p>
        </w:tc>
        <w:tc>
          <w:tcPr>
            <w:tcW w:w="2821" w:type="pct"/>
            <w:tcBorders>
              <w:bottom w:val="single" w:sz="4" w:space="0" w:color="auto"/>
            </w:tcBorders>
          </w:tcPr>
          <w:p w14:paraId="181250C1"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A response (e.g., button press) is required whenever a target stimulus appears. Interference suppression may be required if distractors are present; sustainment may be required if the task is long (e.g., with long intervals between presentations); and working memory may be required if instructions are maintained (e.g., only when one stimulus follows another).</w:t>
            </w:r>
          </w:p>
        </w:tc>
        <w:tc>
          <w:tcPr>
            <w:tcW w:w="451" w:type="pct"/>
            <w:tcBorders>
              <w:bottom w:val="single" w:sz="4" w:space="0" w:color="auto"/>
            </w:tcBorders>
          </w:tcPr>
          <w:p w14:paraId="11B0B0F1"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or time </w:t>
            </w:r>
          </w:p>
        </w:tc>
      </w:tr>
      <w:tr w:rsidR="00444B2F" w:rsidRPr="002B4A51" w14:paraId="29A760C6" w14:textId="77777777" w:rsidTr="00BC6E90">
        <w:tc>
          <w:tcPr>
            <w:tcW w:w="1062" w:type="pct"/>
            <w:tcBorders>
              <w:top w:val="single" w:sz="4" w:space="0" w:color="auto"/>
            </w:tcBorders>
          </w:tcPr>
          <w:p w14:paraId="60CD5776"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Cognitive flexibility + working memory‡ </w:t>
            </w:r>
          </w:p>
        </w:tc>
        <w:tc>
          <w:tcPr>
            <w:tcW w:w="665" w:type="pct"/>
            <w:tcBorders>
              <w:top w:val="single" w:sz="4" w:space="0" w:color="auto"/>
            </w:tcBorders>
          </w:tcPr>
          <w:p w14:paraId="40A14533" w14:textId="77777777" w:rsidR="00444B2F"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DSST</w:t>
            </w:r>
            <w:r w:rsidR="00444B2F" w:rsidRPr="002B4A51">
              <w:rPr>
                <w:rFonts w:ascii="Arial" w:hAnsi="Arial" w:cs="Arial"/>
                <w:sz w:val="24"/>
                <w:szCs w:val="24"/>
                <w:vertAlign w:val="superscript"/>
              </w:rPr>
              <w:t>‡</w:t>
            </w:r>
          </w:p>
        </w:tc>
        <w:tc>
          <w:tcPr>
            <w:tcW w:w="2821" w:type="pct"/>
            <w:tcBorders>
              <w:top w:val="single" w:sz="4" w:space="0" w:color="auto"/>
            </w:tcBorders>
          </w:tcPr>
          <w:p w14:paraId="05E88E9F" w14:textId="77777777" w:rsidR="00444B2F"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A sequence of symbols is presented, each with a corresponding number, and you are asked to complete a random sequence of distribution of these symbols with the numbers to which they correspond. </w:t>
            </w:r>
          </w:p>
        </w:tc>
        <w:tc>
          <w:tcPr>
            <w:tcW w:w="451" w:type="pct"/>
            <w:tcBorders>
              <w:top w:val="single" w:sz="4" w:space="0" w:color="auto"/>
            </w:tcBorders>
          </w:tcPr>
          <w:p w14:paraId="45B41C1D"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in/or time  </w:t>
            </w:r>
          </w:p>
        </w:tc>
      </w:tr>
      <w:tr w:rsidR="00444B2F" w:rsidRPr="002B4A51" w14:paraId="68A530E2" w14:textId="77777777" w:rsidTr="00BC6E90">
        <w:tc>
          <w:tcPr>
            <w:tcW w:w="1062" w:type="pct"/>
          </w:tcPr>
          <w:p w14:paraId="15385669" w14:textId="77777777" w:rsidR="00444B2F" w:rsidRPr="002B4A51" w:rsidRDefault="00444B2F" w:rsidP="002B4A51">
            <w:pPr>
              <w:spacing w:line="360" w:lineRule="auto"/>
              <w:jc w:val="both"/>
              <w:rPr>
                <w:rFonts w:ascii="Arial" w:hAnsi="Arial" w:cs="Arial"/>
                <w:sz w:val="24"/>
                <w:szCs w:val="24"/>
              </w:rPr>
            </w:pPr>
          </w:p>
        </w:tc>
        <w:tc>
          <w:tcPr>
            <w:tcW w:w="665" w:type="pct"/>
          </w:tcPr>
          <w:p w14:paraId="2D57C2C0" w14:textId="77777777" w:rsidR="00444B2F"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Symbol Search</w:t>
            </w:r>
            <w:r w:rsidR="00444B2F" w:rsidRPr="002B4A51">
              <w:rPr>
                <w:rFonts w:ascii="Arial" w:hAnsi="Arial" w:cs="Arial"/>
                <w:sz w:val="24"/>
                <w:szCs w:val="24"/>
                <w:vertAlign w:val="superscript"/>
              </w:rPr>
              <w:t>‡</w:t>
            </w:r>
          </w:p>
        </w:tc>
        <w:tc>
          <w:tcPr>
            <w:tcW w:w="2821" w:type="pct"/>
          </w:tcPr>
          <w:p w14:paraId="1AD719F7" w14:textId="77777777" w:rsidR="00444B2F"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You are instructed to respond if one or more target items are found among distractor stimuli.</w:t>
            </w:r>
          </w:p>
        </w:tc>
        <w:tc>
          <w:tcPr>
            <w:tcW w:w="451" w:type="pct"/>
          </w:tcPr>
          <w:p w14:paraId="490BE6E1" w14:textId="77777777" w:rsidR="00444B2F"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 xml:space="preserve">Accuracy in time  </w:t>
            </w:r>
          </w:p>
        </w:tc>
      </w:tr>
      <w:tr w:rsidR="00EE437E" w:rsidRPr="002B4A51" w14:paraId="60494068" w14:textId="77777777" w:rsidTr="00BC6E90">
        <w:tc>
          <w:tcPr>
            <w:tcW w:w="1062" w:type="pct"/>
            <w:tcBorders>
              <w:bottom w:val="single" w:sz="4" w:space="0" w:color="auto"/>
            </w:tcBorders>
          </w:tcPr>
          <w:p w14:paraId="24514491" w14:textId="77777777" w:rsidR="00EE437E" w:rsidRPr="002B4A51" w:rsidRDefault="00EE437E" w:rsidP="002B4A51">
            <w:pPr>
              <w:spacing w:line="360" w:lineRule="auto"/>
              <w:jc w:val="both"/>
              <w:rPr>
                <w:rFonts w:ascii="Arial" w:hAnsi="Arial" w:cs="Arial"/>
                <w:sz w:val="24"/>
                <w:szCs w:val="24"/>
              </w:rPr>
            </w:pPr>
          </w:p>
        </w:tc>
        <w:tc>
          <w:tcPr>
            <w:tcW w:w="665" w:type="pct"/>
            <w:tcBorders>
              <w:bottom w:val="single" w:sz="4" w:space="0" w:color="auto"/>
            </w:tcBorders>
          </w:tcPr>
          <w:p w14:paraId="5CC028D2" w14:textId="77777777" w:rsidR="00EE437E" w:rsidRPr="002B4A51" w:rsidRDefault="00EE437E" w:rsidP="002B4A51">
            <w:pPr>
              <w:spacing w:line="360" w:lineRule="auto"/>
              <w:jc w:val="both"/>
              <w:rPr>
                <w:rFonts w:ascii="Arial" w:hAnsi="Arial" w:cs="Arial"/>
                <w:sz w:val="24"/>
                <w:szCs w:val="24"/>
              </w:rPr>
            </w:pPr>
            <w:r w:rsidRPr="002B4A51">
              <w:rPr>
                <w:rFonts w:ascii="Arial" w:hAnsi="Arial" w:cs="Arial"/>
                <w:sz w:val="24"/>
                <w:szCs w:val="24"/>
              </w:rPr>
              <w:t>MOT</w:t>
            </w:r>
            <w:r w:rsidRPr="002B4A51">
              <w:rPr>
                <w:rFonts w:ascii="Arial" w:hAnsi="Arial" w:cs="Arial"/>
                <w:sz w:val="24"/>
                <w:szCs w:val="24"/>
                <w:vertAlign w:val="superscript"/>
              </w:rPr>
              <w:t>‡</w:t>
            </w:r>
          </w:p>
        </w:tc>
        <w:tc>
          <w:tcPr>
            <w:tcW w:w="2821" w:type="pct"/>
            <w:tcBorders>
              <w:bottom w:val="single" w:sz="4" w:space="0" w:color="auto"/>
            </w:tcBorders>
          </w:tcPr>
          <w:p w14:paraId="52EAD854"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You are instructed to follow one or more target stimuli between distractors while everyone moves. </w:t>
            </w:r>
          </w:p>
        </w:tc>
        <w:tc>
          <w:tcPr>
            <w:tcW w:w="451" w:type="pct"/>
            <w:tcBorders>
              <w:bottom w:val="single" w:sz="4" w:space="0" w:color="auto"/>
            </w:tcBorders>
          </w:tcPr>
          <w:p w14:paraId="1679F8C4"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EE437E" w:rsidRPr="002B4A51" w14:paraId="5ED274FF" w14:textId="77777777" w:rsidTr="00BC6E90">
        <w:tc>
          <w:tcPr>
            <w:tcW w:w="1062" w:type="pct"/>
            <w:tcBorders>
              <w:top w:val="single" w:sz="4" w:space="0" w:color="auto"/>
              <w:bottom w:val="single" w:sz="4" w:space="0" w:color="auto"/>
            </w:tcBorders>
          </w:tcPr>
          <w:p w14:paraId="7538C160"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Eductive reasoning</w:t>
            </w:r>
            <w:r w:rsidRPr="002B4A51">
              <w:rPr>
                <w:rFonts w:ascii="Arial" w:hAnsi="Arial" w:cs="Arial"/>
                <w:sz w:val="24"/>
                <w:szCs w:val="24"/>
                <w:vertAlign w:val="superscript"/>
              </w:rPr>
              <w:t>+</w:t>
            </w:r>
          </w:p>
        </w:tc>
        <w:tc>
          <w:tcPr>
            <w:tcW w:w="665" w:type="pct"/>
            <w:tcBorders>
              <w:top w:val="single" w:sz="4" w:space="0" w:color="auto"/>
              <w:bottom w:val="single" w:sz="4" w:space="0" w:color="auto"/>
            </w:tcBorders>
          </w:tcPr>
          <w:p w14:paraId="1D5F79C9"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Progressive Matrices</w:t>
            </w:r>
            <w:r w:rsidRPr="002B4A51">
              <w:rPr>
                <w:rFonts w:ascii="Arial" w:hAnsi="Arial" w:cs="Arial"/>
                <w:sz w:val="24"/>
                <w:szCs w:val="24"/>
                <w:vertAlign w:val="superscript"/>
              </w:rPr>
              <w:t>+</w:t>
            </w:r>
          </w:p>
        </w:tc>
        <w:tc>
          <w:tcPr>
            <w:tcW w:w="2821" w:type="pct"/>
            <w:tcBorders>
              <w:top w:val="single" w:sz="4" w:space="0" w:color="auto"/>
              <w:bottom w:val="single" w:sz="4" w:space="0" w:color="auto"/>
            </w:tcBorders>
          </w:tcPr>
          <w:p w14:paraId="72CFDBDF"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In a matrix of images that logically complement each other and with a missing part, you are instructed to choose, from another list of images, the one that completes the matrix.</w:t>
            </w:r>
          </w:p>
        </w:tc>
        <w:tc>
          <w:tcPr>
            <w:tcW w:w="451" w:type="pct"/>
            <w:tcBorders>
              <w:top w:val="single" w:sz="4" w:space="0" w:color="auto"/>
              <w:bottom w:val="single" w:sz="4" w:space="0" w:color="auto"/>
            </w:tcBorders>
          </w:tcPr>
          <w:p w14:paraId="2B3301A2"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EE437E" w:rsidRPr="002B4A51" w14:paraId="4B7FFCB8" w14:textId="77777777" w:rsidTr="00BC6E90">
        <w:tc>
          <w:tcPr>
            <w:tcW w:w="1062" w:type="pct"/>
            <w:tcBorders>
              <w:top w:val="single" w:sz="4" w:space="0" w:color="auto"/>
              <w:bottom w:val="single" w:sz="4" w:space="0" w:color="auto"/>
            </w:tcBorders>
          </w:tcPr>
          <w:p w14:paraId="4ADF4FF9"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Planning</w:t>
            </w:r>
            <w:r w:rsidR="00BC6E90" w:rsidRPr="002B4A51">
              <w:rPr>
                <w:rFonts w:ascii="Arial" w:hAnsi="Arial" w:cs="Arial"/>
                <w:sz w:val="24"/>
                <w:szCs w:val="24"/>
                <w:vertAlign w:val="superscript"/>
              </w:rPr>
              <w:t>+,</w:t>
            </w:r>
            <w:r w:rsidRPr="002B4A51">
              <w:rPr>
                <w:rFonts w:ascii="Arial" w:hAnsi="Arial" w:cs="Arial"/>
                <w:sz w:val="24"/>
                <w:szCs w:val="24"/>
                <w:vertAlign w:val="superscript"/>
              </w:rPr>
              <w:t>‡</w:t>
            </w:r>
          </w:p>
        </w:tc>
        <w:tc>
          <w:tcPr>
            <w:tcW w:w="665" w:type="pct"/>
            <w:tcBorders>
              <w:top w:val="single" w:sz="4" w:space="0" w:color="auto"/>
              <w:bottom w:val="single" w:sz="4" w:space="0" w:color="auto"/>
            </w:tcBorders>
          </w:tcPr>
          <w:p w14:paraId="740BEE87"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SAS</w:t>
            </w:r>
            <w:r w:rsidR="00EE437E" w:rsidRPr="002B4A51">
              <w:rPr>
                <w:rFonts w:ascii="Arial" w:hAnsi="Arial" w:cs="Arial"/>
                <w:sz w:val="24"/>
                <w:szCs w:val="24"/>
                <w:vertAlign w:val="superscript"/>
              </w:rPr>
              <w:t>‡</w:t>
            </w:r>
            <w:r w:rsidR="00EE437E" w:rsidRPr="002B4A51">
              <w:rPr>
                <w:rFonts w:ascii="Arial" w:hAnsi="Arial" w:cs="Arial"/>
                <w:sz w:val="24"/>
                <w:szCs w:val="24"/>
              </w:rPr>
              <w:t xml:space="preserve"> </w:t>
            </w:r>
          </w:p>
        </w:tc>
        <w:tc>
          <w:tcPr>
            <w:tcW w:w="2821" w:type="pct"/>
            <w:tcBorders>
              <w:top w:val="single" w:sz="4" w:space="0" w:color="auto"/>
              <w:bottom w:val="single" w:sz="4" w:space="0" w:color="auto"/>
            </w:tcBorders>
          </w:tcPr>
          <w:p w14:paraId="08CAA08A" w14:textId="77777777" w:rsidR="00EE437E" w:rsidRPr="002B4A51" w:rsidRDefault="00444B2F" w:rsidP="002B4A51">
            <w:pPr>
              <w:spacing w:line="360" w:lineRule="auto"/>
              <w:jc w:val="both"/>
              <w:rPr>
                <w:rFonts w:ascii="Arial" w:hAnsi="Arial" w:cs="Arial"/>
                <w:sz w:val="24"/>
                <w:szCs w:val="24"/>
                <w:lang w:val="en-US"/>
              </w:rPr>
            </w:pPr>
            <w:r w:rsidRPr="002B4A51">
              <w:rPr>
                <w:rFonts w:ascii="Arial" w:hAnsi="Arial" w:cs="Arial"/>
                <w:sz w:val="24"/>
                <w:szCs w:val="24"/>
                <w:lang w:val="en-US"/>
              </w:rPr>
              <w:t xml:space="preserve">With a minimum number of moves, instruct to move balls through pins, one at a time, in order to compose a specific arrangement of balls on the pins presented in each item (Tower of London) or, instruct to move discs through pins, one at a time, in order to compose a specific arrangement of balls on the pins presented in each item, with the rule that a larger disc cannot be placed on top of a smaller one (Tower of Hanoi). </w:t>
            </w:r>
          </w:p>
        </w:tc>
        <w:tc>
          <w:tcPr>
            <w:tcW w:w="451" w:type="pct"/>
            <w:tcBorders>
              <w:top w:val="single" w:sz="4" w:space="0" w:color="auto"/>
              <w:bottom w:val="single" w:sz="4" w:space="0" w:color="auto"/>
            </w:tcBorders>
          </w:tcPr>
          <w:p w14:paraId="607D8C66" w14:textId="77777777" w:rsidR="00EE437E" w:rsidRPr="002B4A51" w:rsidRDefault="00444B2F" w:rsidP="002B4A51">
            <w:pPr>
              <w:spacing w:line="360" w:lineRule="auto"/>
              <w:jc w:val="both"/>
              <w:rPr>
                <w:rFonts w:ascii="Arial" w:hAnsi="Arial" w:cs="Arial"/>
                <w:sz w:val="24"/>
                <w:szCs w:val="24"/>
              </w:rPr>
            </w:pPr>
            <w:r w:rsidRPr="002B4A51">
              <w:rPr>
                <w:rFonts w:ascii="Arial" w:hAnsi="Arial" w:cs="Arial"/>
                <w:sz w:val="24"/>
                <w:szCs w:val="24"/>
              </w:rPr>
              <w:t>Accuracy</w:t>
            </w:r>
          </w:p>
        </w:tc>
      </w:tr>
      <w:tr w:rsidR="00BC6E90" w:rsidRPr="002B4A51" w14:paraId="731B86B8" w14:textId="77777777" w:rsidTr="00BC6E90">
        <w:tc>
          <w:tcPr>
            <w:tcW w:w="1062" w:type="pct"/>
            <w:tcBorders>
              <w:top w:val="single" w:sz="4" w:space="0" w:color="auto"/>
              <w:bottom w:val="single" w:sz="4" w:space="0" w:color="auto"/>
            </w:tcBorders>
          </w:tcPr>
          <w:p w14:paraId="080F0C9E" w14:textId="77777777" w:rsidR="00BC6E90"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Problem-Solving</w:t>
            </w:r>
            <w:r w:rsidRPr="002B4A51">
              <w:rPr>
                <w:rFonts w:ascii="Arial" w:hAnsi="Arial" w:cs="Arial"/>
                <w:sz w:val="24"/>
                <w:szCs w:val="24"/>
                <w:vertAlign w:val="superscript"/>
              </w:rPr>
              <w:t>+</w:t>
            </w:r>
          </w:p>
        </w:tc>
        <w:tc>
          <w:tcPr>
            <w:tcW w:w="665" w:type="pct"/>
            <w:tcBorders>
              <w:top w:val="single" w:sz="4" w:space="0" w:color="auto"/>
              <w:bottom w:val="single" w:sz="4" w:space="0" w:color="auto"/>
            </w:tcBorders>
          </w:tcPr>
          <w:p w14:paraId="4463C0D8" w14:textId="77777777" w:rsidR="00BC6E90"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Mathematical Problems</w:t>
            </w:r>
            <w:r w:rsidRPr="002B4A51">
              <w:rPr>
                <w:rFonts w:ascii="Arial" w:hAnsi="Arial" w:cs="Arial"/>
                <w:sz w:val="24"/>
                <w:szCs w:val="24"/>
                <w:vertAlign w:val="superscript"/>
              </w:rPr>
              <w:t>+</w:t>
            </w:r>
          </w:p>
        </w:tc>
        <w:tc>
          <w:tcPr>
            <w:tcW w:w="2821" w:type="pct"/>
            <w:tcBorders>
              <w:top w:val="single" w:sz="4" w:space="0" w:color="auto"/>
              <w:bottom w:val="single" w:sz="4" w:space="0" w:color="auto"/>
            </w:tcBorders>
          </w:tcPr>
          <w:p w14:paraId="41EA0831" w14:textId="77777777" w:rsidR="00BC6E90"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Solving narrative mathematical problems.</w:t>
            </w:r>
          </w:p>
        </w:tc>
        <w:tc>
          <w:tcPr>
            <w:tcW w:w="451" w:type="pct"/>
            <w:tcBorders>
              <w:top w:val="single" w:sz="4" w:space="0" w:color="auto"/>
              <w:bottom w:val="single" w:sz="4" w:space="0" w:color="auto"/>
            </w:tcBorders>
          </w:tcPr>
          <w:p w14:paraId="4A4924F4" w14:textId="77777777" w:rsidR="00BC6E90" w:rsidRPr="002B4A51" w:rsidRDefault="00BC6E90" w:rsidP="002B4A51">
            <w:pPr>
              <w:spacing w:line="360" w:lineRule="auto"/>
              <w:jc w:val="both"/>
              <w:rPr>
                <w:rFonts w:ascii="Arial" w:hAnsi="Arial" w:cs="Arial"/>
                <w:sz w:val="24"/>
                <w:szCs w:val="24"/>
              </w:rPr>
            </w:pPr>
            <w:r w:rsidRPr="002B4A51">
              <w:rPr>
                <w:rFonts w:ascii="Arial" w:hAnsi="Arial" w:cs="Arial"/>
                <w:sz w:val="24"/>
                <w:szCs w:val="24"/>
              </w:rPr>
              <w:t>Accuracy</w:t>
            </w:r>
          </w:p>
        </w:tc>
      </w:tr>
    </w:tbl>
    <w:p w14:paraId="020C3822" w14:textId="77777777" w:rsidR="00444B2F" w:rsidRPr="002B4A51" w:rsidRDefault="00444B2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Note. *Definition by the Global Executive Function Initiative (GEFI)</w:t>
      </w:r>
      <w:r w:rsidRPr="002B4A51">
        <w:rPr>
          <w:rFonts w:ascii="Arial" w:hAnsi="Arial" w:cs="Arial"/>
          <w:sz w:val="24"/>
          <w:szCs w:val="24"/>
          <w:vertAlign w:val="superscript"/>
          <w:lang w:val="en-US"/>
        </w:rPr>
        <w:t>7</w:t>
      </w:r>
      <w:r w:rsidRPr="002B4A51">
        <w:rPr>
          <w:rFonts w:ascii="Arial" w:hAnsi="Arial" w:cs="Arial"/>
          <w:sz w:val="24"/>
          <w:szCs w:val="24"/>
          <w:lang w:val="en-US"/>
        </w:rPr>
        <w:t xml:space="preserve">. </w:t>
      </w:r>
      <w:r w:rsidRPr="002B4A51">
        <w:rPr>
          <w:rFonts w:ascii="Arial" w:hAnsi="Arial" w:cs="Arial"/>
          <w:sz w:val="24"/>
          <w:szCs w:val="24"/>
          <w:vertAlign w:val="superscript"/>
          <w:lang w:val="en-US"/>
        </w:rPr>
        <w:t>+</w:t>
      </w:r>
      <w:r w:rsidRPr="002B4A51">
        <w:rPr>
          <w:rFonts w:ascii="Arial" w:hAnsi="Arial" w:cs="Arial"/>
          <w:sz w:val="24"/>
          <w:szCs w:val="24"/>
          <w:lang w:val="en-US"/>
        </w:rPr>
        <w:t>Definition by Diamond</w:t>
      </w:r>
      <w:r w:rsidRPr="002B4A51">
        <w:rPr>
          <w:rFonts w:ascii="Arial" w:hAnsi="Arial" w:cs="Arial"/>
          <w:sz w:val="24"/>
          <w:szCs w:val="24"/>
          <w:vertAlign w:val="superscript"/>
          <w:lang w:val="en-US"/>
        </w:rPr>
        <w:t>1</w:t>
      </w:r>
      <w:r w:rsidRPr="002B4A51">
        <w:rPr>
          <w:rFonts w:ascii="Arial" w:hAnsi="Arial" w:cs="Arial"/>
          <w:sz w:val="24"/>
          <w:szCs w:val="24"/>
          <w:lang w:val="en-US"/>
        </w:rPr>
        <w:t xml:space="preserve">. </w:t>
      </w:r>
      <w:r w:rsidRPr="002B4A51">
        <w:rPr>
          <w:rFonts w:ascii="Arial" w:hAnsi="Arial" w:cs="Arial"/>
          <w:sz w:val="24"/>
          <w:szCs w:val="24"/>
          <w:vertAlign w:val="superscript"/>
          <w:lang w:val="en-US"/>
        </w:rPr>
        <w:t>‡</w:t>
      </w:r>
      <w:r w:rsidRPr="002B4A51">
        <w:rPr>
          <w:rFonts w:ascii="Arial" w:hAnsi="Arial" w:cs="Arial"/>
          <w:sz w:val="24"/>
          <w:szCs w:val="24"/>
          <w:lang w:val="en-US"/>
        </w:rPr>
        <w:t>Definition by Dias and Malloy-Diniz</w:t>
      </w:r>
      <w:r w:rsidRPr="002B4A51">
        <w:rPr>
          <w:rFonts w:ascii="Arial" w:hAnsi="Arial" w:cs="Arial"/>
          <w:sz w:val="24"/>
          <w:szCs w:val="24"/>
          <w:vertAlign w:val="superscript"/>
          <w:lang w:val="en-US"/>
        </w:rPr>
        <w:t>8</w:t>
      </w:r>
      <w:r w:rsidRPr="002B4A51">
        <w:rPr>
          <w:rFonts w:ascii="Arial" w:hAnsi="Arial" w:cs="Arial"/>
          <w:sz w:val="24"/>
          <w:szCs w:val="24"/>
          <w:lang w:val="en-US"/>
        </w:rPr>
        <w:t xml:space="preserve">. Abbreviations: CPT: Continuous Performance Test; </w:t>
      </w:r>
      <w:r w:rsidR="00BC6E90" w:rsidRPr="002B4A51">
        <w:rPr>
          <w:rFonts w:ascii="Arial" w:hAnsi="Arial" w:cs="Arial"/>
          <w:sz w:val="24"/>
          <w:szCs w:val="24"/>
          <w:lang w:val="en-US"/>
        </w:rPr>
        <w:t xml:space="preserve">DSST: Digit Symbol Substitution Test; </w:t>
      </w:r>
      <w:r w:rsidRPr="002B4A51">
        <w:rPr>
          <w:rFonts w:ascii="Arial" w:hAnsi="Arial" w:cs="Arial"/>
          <w:sz w:val="24"/>
          <w:szCs w:val="24"/>
          <w:lang w:val="en-US"/>
        </w:rPr>
        <w:t>MOT: Multiple-Object Tracking; SAS: Supervisory Attention System</w:t>
      </w:r>
      <w:r w:rsidR="00BC6E90" w:rsidRPr="002B4A51">
        <w:rPr>
          <w:rFonts w:ascii="Arial" w:hAnsi="Arial" w:cs="Arial"/>
          <w:sz w:val="24"/>
          <w:szCs w:val="24"/>
          <w:lang w:val="en-US"/>
        </w:rPr>
        <w:t xml:space="preserve">; SST: Symbol </w:t>
      </w:r>
      <w:r w:rsidRPr="002B4A51">
        <w:rPr>
          <w:rFonts w:ascii="Arial" w:hAnsi="Arial" w:cs="Arial"/>
          <w:sz w:val="24"/>
          <w:szCs w:val="24"/>
          <w:lang w:val="en-US"/>
        </w:rPr>
        <w:t xml:space="preserve"> The GEFI</w:t>
      </w:r>
      <w:r w:rsidRPr="002B4A51">
        <w:rPr>
          <w:rFonts w:ascii="Arial" w:hAnsi="Arial" w:cs="Arial"/>
          <w:sz w:val="24"/>
          <w:szCs w:val="24"/>
          <w:vertAlign w:val="superscript"/>
          <w:lang w:val="en-US"/>
        </w:rPr>
        <w:t>7</w:t>
      </w:r>
      <w:r w:rsidRPr="002B4A51">
        <w:rPr>
          <w:rFonts w:ascii="Arial" w:hAnsi="Arial" w:cs="Arial"/>
          <w:sz w:val="24"/>
          <w:szCs w:val="24"/>
          <w:lang w:val="en-US"/>
        </w:rPr>
        <w:t xml:space="preserve"> suggests two paradigms as separate, but brought together by Diamond</w:t>
      </w:r>
      <w:r w:rsidRPr="002B4A51">
        <w:rPr>
          <w:rFonts w:ascii="Arial" w:hAnsi="Arial" w:cs="Arial"/>
          <w:sz w:val="24"/>
          <w:szCs w:val="24"/>
          <w:vertAlign w:val="superscript"/>
          <w:lang w:val="en-US"/>
        </w:rPr>
        <w:t>1</w:t>
      </w:r>
      <w:r w:rsidRPr="002B4A51">
        <w:rPr>
          <w:rFonts w:ascii="Arial" w:hAnsi="Arial" w:cs="Arial"/>
          <w:sz w:val="24"/>
          <w:szCs w:val="24"/>
          <w:lang w:val="en-US"/>
        </w:rPr>
        <w:t xml:space="preserve"> as forms of task-switching. The first one is the Flexible Item Selection Task (FIST), in which stimuli that vary in dimension (color, size, or shape) and value (e.g., small, medium, or large; blue, red, or yellow) are presented, and the student is instructed to identify different groupings of corresponding stimuli, alternating possibilities of association between dimensions and values. The second, the Dimensional Change Card Sort (DCCS), has three blocks: in the first, the student is instructed to sort cards according to dimension (e.g., color or shape); in the second, classify the same cards by another dimension (e.g., if previously by color, now by shape); and, in the third, flexibly alternate between the two dimensions following an additional rule for when to classify by each dimension (e.g., number of drawings). </w:t>
      </w:r>
    </w:p>
    <w:p w14:paraId="29D22A6C" w14:textId="77777777" w:rsidR="00BC6E90" w:rsidRPr="002B4A51" w:rsidRDefault="00BC6E90" w:rsidP="002B4A51">
      <w:pPr>
        <w:spacing w:after="0" w:line="360" w:lineRule="auto"/>
        <w:jc w:val="both"/>
        <w:rPr>
          <w:rFonts w:ascii="Arial" w:hAnsi="Arial" w:cs="Arial"/>
          <w:sz w:val="24"/>
          <w:szCs w:val="24"/>
          <w:lang w:val="en-US"/>
        </w:rPr>
      </w:pPr>
    </w:p>
    <w:p w14:paraId="7EB2424E" w14:textId="77777777" w:rsidR="00BC6E90" w:rsidRPr="002B4A51" w:rsidRDefault="00BC6E90" w:rsidP="002B4A51">
      <w:pPr>
        <w:spacing w:after="0" w:line="360" w:lineRule="auto"/>
        <w:jc w:val="both"/>
        <w:rPr>
          <w:rFonts w:ascii="Arial" w:hAnsi="Arial" w:cs="Arial"/>
          <w:b/>
          <w:sz w:val="24"/>
          <w:szCs w:val="24"/>
          <w:lang w:val="en-US"/>
        </w:rPr>
      </w:pPr>
      <w:r w:rsidRPr="002B4A51">
        <w:rPr>
          <w:rFonts w:ascii="Arial" w:hAnsi="Arial" w:cs="Arial"/>
          <w:b/>
          <w:sz w:val="24"/>
          <w:szCs w:val="24"/>
          <w:lang w:val="en-US"/>
        </w:rPr>
        <w:br w:type="page"/>
      </w:r>
    </w:p>
    <w:p w14:paraId="17A6AFB6" w14:textId="0D21F16F" w:rsidR="00910063" w:rsidRPr="002B4A51" w:rsidRDefault="00EE437E" w:rsidP="002B4A51">
      <w:pPr>
        <w:spacing w:after="0" w:line="360" w:lineRule="auto"/>
        <w:jc w:val="both"/>
        <w:rPr>
          <w:rFonts w:ascii="Arial" w:hAnsi="Arial" w:cs="Arial"/>
          <w:sz w:val="24"/>
          <w:szCs w:val="24"/>
          <w:lang w:val="en-US"/>
        </w:rPr>
      </w:pPr>
      <w:r w:rsidRPr="002B4A51">
        <w:rPr>
          <w:rFonts w:ascii="Arial" w:hAnsi="Arial" w:cs="Arial"/>
          <w:b/>
          <w:sz w:val="24"/>
          <w:szCs w:val="24"/>
          <w:lang w:val="en-US"/>
        </w:rPr>
        <w:lastRenderedPageBreak/>
        <w:t>Table</w:t>
      </w:r>
      <w:r w:rsidR="00910063" w:rsidRPr="002B4A51">
        <w:rPr>
          <w:rFonts w:ascii="Arial" w:hAnsi="Arial" w:cs="Arial"/>
          <w:b/>
          <w:sz w:val="24"/>
          <w:szCs w:val="24"/>
          <w:lang w:val="en-US"/>
        </w:rPr>
        <w:t xml:space="preserve"> </w:t>
      </w:r>
      <w:r w:rsidR="002B4A51">
        <w:rPr>
          <w:rFonts w:ascii="Arial" w:hAnsi="Arial" w:cs="Arial"/>
          <w:b/>
          <w:sz w:val="24"/>
          <w:szCs w:val="24"/>
          <w:lang w:val="en-US"/>
        </w:rPr>
        <w:t>S</w:t>
      </w:r>
      <w:r w:rsidR="00910063" w:rsidRPr="002B4A51">
        <w:rPr>
          <w:rFonts w:ascii="Arial" w:hAnsi="Arial" w:cs="Arial"/>
          <w:b/>
          <w:sz w:val="24"/>
          <w:szCs w:val="24"/>
          <w:lang w:val="en-US"/>
        </w:rPr>
        <w:t>2</w:t>
      </w:r>
      <w:r w:rsidRPr="002B4A51">
        <w:rPr>
          <w:rFonts w:ascii="Arial" w:hAnsi="Arial" w:cs="Arial"/>
          <w:b/>
          <w:sz w:val="24"/>
          <w:szCs w:val="24"/>
          <w:lang w:val="en-US"/>
        </w:rPr>
        <w:t xml:space="preserve">. </w:t>
      </w:r>
      <w:r w:rsidRPr="002B4A51">
        <w:rPr>
          <w:rFonts w:ascii="Arial" w:hAnsi="Arial" w:cs="Arial"/>
          <w:sz w:val="24"/>
          <w:szCs w:val="24"/>
          <w:lang w:val="en-US"/>
        </w:rPr>
        <w:t xml:space="preserve">Characteristics of included studies. </w:t>
      </w:r>
    </w:p>
    <w:tbl>
      <w:tblPr>
        <w:tblW w:w="5000" w:type="pct"/>
        <w:tblLook w:val="04A0" w:firstRow="1" w:lastRow="0" w:firstColumn="1" w:lastColumn="0" w:noHBand="0" w:noVBand="1"/>
      </w:tblPr>
      <w:tblGrid>
        <w:gridCol w:w="1951"/>
        <w:gridCol w:w="4516"/>
        <w:gridCol w:w="4959"/>
        <w:gridCol w:w="2425"/>
        <w:gridCol w:w="1853"/>
      </w:tblGrid>
      <w:tr w:rsidR="00AB7808" w:rsidRPr="002B4A51" w14:paraId="2A91FA87" w14:textId="77777777" w:rsidTr="00BC6E90">
        <w:tc>
          <w:tcPr>
            <w:tcW w:w="621" w:type="pct"/>
            <w:tcBorders>
              <w:top w:val="single" w:sz="4" w:space="0" w:color="auto"/>
              <w:bottom w:val="single" w:sz="4" w:space="0" w:color="auto"/>
            </w:tcBorders>
          </w:tcPr>
          <w:p w14:paraId="70AF98E1"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b/>
                <w:sz w:val="24"/>
                <w:szCs w:val="24"/>
              </w:rPr>
              <w:t>Study</w:t>
            </w:r>
          </w:p>
        </w:tc>
        <w:tc>
          <w:tcPr>
            <w:tcW w:w="1438" w:type="pct"/>
            <w:tcBorders>
              <w:top w:val="single" w:sz="4" w:space="0" w:color="auto"/>
              <w:bottom w:val="single" w:sz="4" w:space="0" w:color="auto"/>
            </w:tcBorders>
          </w:tcPr>
          <w:p w14:paraId="1B88DFAF"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b/>
                <w:sz w:val="24"/>
                <w:szCs w:val="24"/>
              </w:rPr>
              <w:t>Sample</w:t>
            </w:r>
          </w:p>
        </w:tc>
        <w:tc>
          <w:tcPr>
            <w:tcW w:w="1579" w:type="pct"/>
            <w:tcBorders>
              <w:top w:val="single" w:sz="4" w:space="0" w:color="auto"/>
              <w:bottom w:val="single" w:sz="4" w:space="0" w:color="auto"/>
            </w:tcBorders>
          </w:tcPr>
          <w:p w14:paraId="6CF9FE6F"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b/>
                <w:sz w:val="24"/>
                <w:szCs w:val="24"/>
              </w:rPr>
              <w:t>Phenomenon</w:t>
            </w:r>
          </w:p>
        </w:tc>
        <w:tc>
          <w:tcPr>
            <w:tcW w:w="772" w:type="pct"/>
            <w:tcBorders>
              <w:top w:val="single" w:sz="4" w:space="0" w:color="auto"/>
              <w:bottom w:val="single" w:sz="4" w:space="0" w:color="auto"/>
            </w:tcBorders>
          </w:tcPr>
          <w:p w14:paraId="4DA2DB90"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b/>
                <w:sz w:val="24"/>
                <w:szCs w:val="24"/>
              </w:rPr>
              <w:t>Research type / design</w:t>
            </w:r>
            <w:r w:rsidR="00444B2F" w:rsidRPr="002B4A51">
              <w:rPr>
                <w:rFonts w:ascii="Arial" w:hAnsi="Arial" w:cs="Arial"/>
                <w:b/>
                <w:sz w:val="24"/>
                <w:szCs w:val="24"/>
              </w:rPr>
              <w:t xml:space="preserve">* </w:t>
            </w:r>
          </w:p>
        </w:tc>
        <w:tc>
          <w:tcPr>
            <w:tcW w:w="591" w:type="pct"/>
            <w:tcBorders>
              <w:top w:val="single" w:sz="4" w:space="0" w:color="auto"/>
              <w:bottom w:val="single" w:sz="4" w:space="0" w:color="auto"/>
            </w:tcBorders>
          </w:tcPr>
          <w:p w14:paraId="7BCE0B3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b/>
                <w:sz w:val="24"/>
                <w:szCs w:val="24"/>
              </w:rPr>
              <w:t xml:space="preserve">Battery used </w:t>
            </w:r>
          </w:p>
        </w:tc>
      </w:tr>
      <w:tr w:rsidR="00AB7808" w:rsidRPr="002B4A51" w14:paraId="15C47DF7" w14:textId="77777777" w:rsidTr="00BC6E90">
        <w:tc>
          <w:tcPr>
            <w:tcW w:w="621" w:type="pct"/>
            <w:tcBorders>
              <w:top w:val="single" w:sz="4" w:space="0" w:color="auto"/>
            </w:tcBorders>
          </w:tcPr>
          <w:p w14:paraId="3D44DF1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Benoit et al. (2015)</w:t>
            </w:r>
            <w:r w:rsidRPr="002B4A51">
              <w:rPr>
                <w:rFonts w:ascii="Arial" w:hAnsi="Arial" w:cs="Arial"/>
                <w:sz w:val="24"/>
                <w:szCs w:val="24"/>
                <w:vertAlign w:val="superscript"/>
              </w:rPr>
              <w:t>19</w:t>
            </w:r>
          </w:p>
        </w:tc>
        <w:tc>
          <w:tcPr>
            <w:tcW w:w="1438" w:type="pct"/>
            <w:tcBorders>
              <w:top w:val="single" w:sz="4" w:space="0" w:color="auto"/>
            </w:tcBorders>
          </w:tcPr>
          <w:p w14:paraId="162F4B3A"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Healthy adults or adults with schizophrenia (14-35) (</w:t>
            </w:r>
            <w:r w:rsidRPr="002B4A51">
              <w:rPr>
                <w:rFonts w:ascii="Arial" w:hAnsi="Arial" w:cs="Arial"/>
                <w:i/>
                <w:sz w:val="24"/>
                <w:szCs w:val="24"/>
                <w:lang w:val="en-US"/>
              </w:rPr>
              <w:t xml:space="preserve">n </w:t>
            </w:r>
            <w:r w:rsidRPr="002B4A51">
              <w:rPr>
                <w:rFonts w:ascii="Arial" w:hAnsi="Arial" w:cs="Arial"/>
                <w:sz w:val="24"/>
                <w:szCs w:val="24"/>
                <w:lang w:val="en-US"/>
              </w:rPr>
              <w:t>= 412)</w:t>
            </w:r>
          </w:p>
        </w:tc>
        <w:tc>
          <w:tcPr>
            <w:tcW w:w="1579" w:type="pct"/>
            <w:tcBorders>
              <w:top w:val="single" w:sz="4" w:space="0" w:color="auto"/>
            </w:tcBorders>
          </w:tcPr>
          <w:p w14:paraId="2F65A9B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Cognition under schizophrenia</w:t>
            </w:r>
          </w:p>
        </w:tc>
        <w:tc>
          <w:tcPr>
            <w:tcW w:w="772" w:type="pct"/>
            <w:tcBorders>
              <w:top w:val="single" w:sz="4" w:space="0" w:color="auto"/>
            </w:tcBorders>
          </w:tcPr>
          <w:p w14:paraId="6A2BB8E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Borders>
              <w:top w:val="single" w:sz="4" w:space="0" w:color="auto"/>
            </w:tcBorders>
          </w:tcPr>
          <w:p w14:paraId="2A623CD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CogState  </w:t>
            </w:r>
          </w:p>
        </w:tc>
      </w:tr>
      <w:tr w:rsidR="00AB7808" w:rsidRPr="002B4A51" w14:paraId="0445CF06" w14:textId="77777777" w:rsidTr="00BC6E90">
        <w:tc>
          <w:tcPr>
            <w:tcW w:w="621" w:type="pct"/>
          </w:tcPr>
          <w:p w14:paraId="2E21244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Gordon et al. (2015)</w:t>
            </w:r>
            <w:r w:rsidRPr="002B4A51">
              <w:rPr>
                <w:rFonts w:ascii="Arial" w:hAnsi="Arial" w:cs="Arial"/>
                <w:sz w:val="24"/>
                <w:szCs w:val="24"/>
                <w:vertAlign w:val="superscript"/>
              </w:rPr>
              <w:t>20</w:t>
            </w:r>
          </w:p>
        </w:tc>
        <w:tc>
          <w:tcPr>
            <w:tcW w:w="1438" w:type="pct"/>
          </w:tcPr>
          <w:p w14:paraId="48789BF1"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from five unspecified countries (18-65) (</w:t>
            </w:r>
            <w:r w:rsidRPr="002B4A51">
              <w:rPr>
                <w:rFonts w:ascii="Arial" w:hAnsi="Arial" w:cs="Arial"/>
                <w:i/>
                <w:sz w:val="24"/>
                <w:szCs w:val="24"/>
                <w:lang w:val="en-US"/>
              </w:rPr>
              <w:t>n</w:t>
            </w:r>
            <w:r w:rsidRPr="002B4A51">
              <w:rPr>
                <w:rFonts w:ascii="Arial" w:hAnsi="Arial" w:cs="Arial"/>
                <w:sz w:val="24"/>
                <w:szCs w:val="24"/>
                <w:lang w:val="en-US"/>
              </w:rPr>
              <w:t xml:space="preserve"> = 1,008)</w:t>
            </w:r>
          </w:p>
        </w:tc>
        <w:tc>
          <w:tcPr>
            <w:tcW w:w="1579" w:type="pct"/>
          </w:tcPr>
          <w:p w14:paraId="56034D95"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general cognitive screening battery (development)</w:t>
            </w:r>
          </w:p>
        </w:tc>
        <w:tc>
          <w:tcPr>
            <w:tcW w:w="772" w:type="pct"/>
          </w:tcPr>
          <w:p w14:paraId="57C42F9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1C625AE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CEB </w:t>
            </w:r>
          </w:p>
        </w:tc>
      </w:tr>
      <w:tr w:rsidR="00AB7808" w:rsidRPr="002B4A51" w14:paraId="273BC125" w14:textId="77777777" w:rsidTr="00BC6E90">
        <w:tc>
          <w:tcPr>
            <w:tcW w:w="621" w:type="pct"/>
          </w:tcPr>
          <w:p w14:paraId="0523C5C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Jacova et al. (2015)</w:t>
            </w:r>
            <w:r w:rsidRPr="002B4A51">
              <w:rPr>
                <w:rFonts w:ascii="Arial" w:hAnsi="Arial" w:cs="Arial"/>
                <w:sz w:val="24"/>
                <w:szCs w:val="24"/>
                <w:vertAlign w:val="superscript"/>
              </w:rPr>
              <w:t>21</w:t>
            </w:r>
          </w:p>
        </w:tc>
        <w:tc>
          <w:tcPr>
            <w:tcW w:w="1438" w:type="pct"/>
          </w:tcPr>
          <w:p w14:paraId="4866A69A"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dementia, MCI or healthy (</w:t>
            </w:r>
            <w:r w:rsidRPr="002B4A51">
              <w:rPr>
                <w:rFonts w:ascii="Arial" w:hAnsi="Arial" w:cs="Arial"/>
                <w:i/>
                <w:sz w:val="24"/>
                <w:szCs w:val="24"/>
                <w:lang w:val="en-US"/>
              </w:rPr>
              <w:t xml:space="preserve">n </w:t>
            </w:r>
            <w:r w:rsidRPr="002B4A51">
              <w:rPr>
                <w:rFonts w:ascii="Arial" w:hAnsi="Arial" w:cs="Arial"/>
                <w:sz w:val="24"/>
                <w:szCs w:val="24"/>
                <w:lang w:val="en-US"/>
              </w:rPr>
              <w:t>= 27)</w:t>
            </w:r>
          </w:p>
        </w:tc>
        <w:tc>
          <w:tcPr>
            <w:tcW w:w="1579" w:type="pct"/>
          </w:tcPr>
          <w:p w14:paraId="251236D7"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elderly individuals (validity</w:t>
            </w:r>
            <w:r w:rsidR="00AB7808" w:rsidRPr="002B4A51">
              <w:rPr>
                <w:rFonts w:ascii="Arial" w:hAnsi="Arial" w:cs="Arial"/>
                <w:sz w:val="24"/>
                <w:szCs w:val="24"/>
                <w:lang w:val="en-US"/>
              </w:rPr>
              <w:t xml:space="preserve"> </w:t>
            </w:r>
            <w:r w:rsidRPr="002B4A51">
              <w:rPr>
                <w:rFonts w:ascii="Arial" w:hAnsi="Arial" w:cs="Arial"/>
                <w:sz w:val="24"/>
                <w:szCs w:val="24"/>
                <w:lang w:val="en-US"/>
              </w:rPr>
              <w:t xml:space="preserve">based on internal structure) </w:t>
            </w:r>
          </w:p>
        </w:tc>
        <w:tc>
          <w:tcPr>
            <w:tcW w:w="772" w:type="pct"/>
          </w:tcPr>
          <w:p w14:paraId="46CEA83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11895E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C-TOC </w:t>
            </w:r>
          </w:p>
        </w:tc>
      </w:tr>
      <w:tr w:rsidR="00AB7808" w:rsidRPr="002B4A51" w14:paraId="3E08217C" w14:textId="77777777" w:rsidTr="00BC6E90">
        <w:tc>
          <w:tcPr>
            <w:tcW w:w="621" w:type="pct"/>
          </w:tcPr>
          <w:p w14:paraId="3A6D767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lang w:val="en-US"/>
              </w:rPr>
              <w:t>Moore et al. (2015)</w:t>
            </w:r>
            <w:r w:rsidRPr="002B4A51">
              <w:rPr>
                <w:rFonts w:ascii="Arial" w:hAnsi="Arial" w:cs="Arial"/>
                <w:sz w:val="24"/>
                <w:szCs w:val="24"/>
                <w:vertAlign w:val="superscript"/>
                <w:lang w:val="en-US"/>
              </w:rPr>
              <w:t>10</w:t>
            </w:r>
          </w:p>
        </w:tc>
        <w:tc>
          <w:tcPr>
            <w:tcW w:w="1438" w:type="pct"/>
          </w:tcPr>
          <w:p w14:paraId="1465B5C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American adolescents (8-21) (</w:t>
            </w:r>
            <w:r w:rsidRPr="002B4A51">
              <w:rPr>
                <w:rFonts w:ascii="Arial" w:hAnsi="Arial" w:cs="Arial"/>
                <w:i/>
                <w:sz w:val="24"/>
                <w:szCs w:val="24"/>
              </w:rPr>
              <w:t>n</w:t>
            </w:r>
            <w:r w:rsidRPr="002B4A51">
              <w:rPr>
                <w:rFonts w:ascii="Arial" w:hAnsi="Arial" w:cs="Arial"/>
                <w:sz w:val="24"/>
                <w:szCs w:val="24"/>
              </w:rPr>
              <w:t xml:space="preserve"> = 9,138)</w:t>
            </w:r>
          </w:p>
        </w:tc>
        <w:tc>
          <w:tcPr>
            <w:tcW w:w="1579" w:type="pct"/>
          </w:tcPr>
          <w:p w14:paraId="1CFAE0CB"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general cognitive screening battery (validity based on internal structure)</w:t>
            </w:r>
          </w:p>
        </w:tc>
        <w:tc>
          <w:tcPr>
            <w:tcW w:w="772" w:type="pct"/>
          </w:tcPr>
          <w:p w14:paraId="5F8E954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7C00995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PennCNB</w:t>
            </w:r>
          </w:p>
        </w:tc>
      </w:tr>
      <w:tr w:rsidR="00AB7808" w:rsidRPr="002B4A51" w14:paraId="15315481" w14:textId="77777777" w:rsidTr="00BC6E90">
        <w:tc>
          <w:tcPr>
            <w:tcW w:w="621" w:type="pct"/>
          </w:tcPr>
          <w:p w14:paraId="58F95B6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Meskal et al. (2015)</w:t>
            </w:r>
            <w:r w:rsidRPr="002B4A51">
              <w:rPr>
                <w:rFonts w:ascii="Arial" w:hAnsi="Arial" w:cs="Arial"/>
                <w:sz w:val="24"/>
                <w:szCs w:val="24"/>
                <w:vertAlign w:val="superscript"/>
              </w:rPr>
              <w:t>22</w:t>
            </w:r>
          </w:p>
        </w:tc>
        <w:tc>
          <w:tcPr>
            <w:tcW w:w="1438" w:type="pct"/>
          </w:tcPr>
          <w:p w14:paraId="7134519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Adults with meningioma (36-74) (</w:t>
            </w:r>
            <w:r w:rsidRPr="002B4A51">
              <w:rPr>
                <w:rFonts w:ascii="Arial" w:hAnsi="Arial" w:cs="Arial"/>
                <w:i/>
                <w:sz w:val="24"/>
                <w:szCs w:val="24"/>
              </w:rPr>
              <w:t>n</w:t>
            </w:r>
            <w:r w:rsidRPr="002B4A51">
              <w:rPr>
                <w:rFonts w:ascii="Arial" w:hAnsi="Arial" w:cs="Arial"/>
                <w:sz w:val="24"/>
                <w:szCs w:val="24"/>
              </w:rPr>
              <w:t xml:space="preserve"> = 68)</w:t>
            </w:r>
          </w:p>
        </w:tc>
        <w:tc>
          <w:tcPr>
            <w:tcW w:w="1579" w:type="pct"/>
          </w:tcPr>
          <w:p w14:paraId="7F2AD928"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Cognition of people with meningioma </w:t>
            </w:r>
          </w:p>
        </w:tc>
        <w:tc>
          <w:tcPr>
            <w:tcW w:w="772" w:type="pct"/>
          </w:tcPr>
          <w:p w14:paraId="29D9C28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20782C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CNS VS </w:t>
            </w:r>
          </w:p>
        </w:tc>
      </w:tr>
      <w:tr w:rsidR="00AB7808" w:rsidRPr="002B4A51" w14:paraId="40EB2EF9" w14:textId="77777777" w:rsidTr="00BC6E90">
        <w:tc>
          <w:tcPr>
            <w:tcW w:w="621" w:type="pct"/>
          </w:tcPr>
          <w:p w14:paraId="2083998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lang w:val="en-US"/>
              </w:rPr>
              <w:t>Turner et al. (2015)</w:t>
            </w:r>
            <w:r w:rsidRPr="002B4A51">
              <w:rPr>
                <w:rFonts w:ascii="Arial" w:hAnsi="Arial" w:cs="Arial"/>
                <w:sz w:val="24"/>
                <w:szCs w:val="24"/>
                <w:vertAlign w:val="superscript"/>
                <w:lang w:val="en-US"/>
              </w:rPr>
              <w:t>23</w:t>
            </w:r>
          </w:p>
        </w:tc>
        <w:tc>
          <w:tcPr>
            <w:tcW w:w="1438" w:type="pct"/>
          </w:tcPr>
          <w:p w14:paraId="73A5A083"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sz w:val="24"/>
                <w:szCs w:val="24"/>
              </w:rPr>
              <w:t>New Zealand adults (20-28) (</w:t>
            </w:r>
            <w:r w:rsidRPr="002B4A51">
              <w:rPr>
                <w:rFonts w:ascii="Arial" w:hAnsi="Arial" w:cs="Arial"/>
                <w:i/>
                <w:sz w:val="24"/>
                <w:szCs w:val="24"/>
              </w:rPr>
              <w:t xml:space="preserve">n </w:t>
            </w:r>
            <w:r w:rsidRPr="002B4A51">
              <w:rPr>
                <w:rFonts w:ascii="Arial" w:hAnsi="Arial" w:cs="Arial"/>
                <w:sz w:val="24"/>
                <w:szCs w:val="24"/>
              </w:rPr>
              <w:t>= 22)</w:t>
            </w:r>
          </w:p>
        </w:tc>
        <w:tc>
          <w:tcPr>
            <w:tcW w:w="1579" w:type="pct"/>
          </w:tcPr>
          <w:p w14:paraId="340BC4F1"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Cognitive changes under acute gas inhalation </w:t>
            </w:r>
          </w:p>
        </w:tc>
        <w:tc>
          <w:tcPr>
            <w:tcW w:w="772" w:type="pct"/>
          </w:tcPr>
          <w:p w14:paraId="428F151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627D38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CNS VS </w:t>
            </w:r>
          </w:p>
        </w:tc>
      </w:tr>
      <w:tr w:rsidR="00AB7808" w:rsidRPr="002B4A51" w14:paraId="6C51EEB6" w14:textId="77777777" w:rsidTr="00BC6E90">
        <w:tc>
          <w:tcPr>
            <w:tcW w:w="621" w:type="pct"/>
          </w:tcPr>
          <w:p w14:paraId="1975D82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Assmann et al. (2016)</w:t>
            </w:r>
            <w:r w:rsidRPr="002B4A51">
              <w:rPr>
                <w:rFonts w:ascii="Arial" w:hAnsi="Arial" w:cs="Arial"/>
                <w:sz w:val="24"/>
                <w:szCs w:val="24"/>
                <w:vertAlign w:val="superscript"/>
              </w:rPr>
              <w:t>24</w:t>
            </w:r>
          </w:p>
        </w:tc>
        <w:tc>
          <w:tcPr>
            <w:tcW w:w="1438" w:type="pct"/>
          </w:tcPr>
          <w:p w14:paraId="58F14360"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French adults (mean 57 years, no standard deviation reported) (</w:t>
            </w:r>
            <w:r w:rsidRPr="002B4A51">
              <w:rPr>
                <w:rFonts w:ascii="Arial" w:hAnsi="Arial" w:cs="Arial"/>
                <w:i/>
                <w:sz w:val="24"/>
                <w:szCs w:val="24"/>
                <w:lang w:val="en-US"/>
              </w:rPr>
              <w:t>n</w:t>
            </w:r>
            <w:r w:rsidRPr="002B4A51">
              <w:rPr>
                <w:rFonts w:ascii="Arial" w:hAnsi="Arial" w:cs="Arial"/>
                <w:sz w:val="24"/>
                <w:szCs w:val="24"/>
                <w:lang w:val="en-US"/>
              </w:rPr>
              <w:t xml:space="preserve"> = 189)</w:t>
            </w:r>
          </w:p>
        </w:tc>
        <w:tc>
          <w:tcPr>
            <w:tcW w:w="1579" w:type="pct"/>
          </w:tcPr>
          <w:p w14:paraId="3AB2AE77"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elderly individuals (reliability between different versions) </w:t>
            </w:r>
          </w:p>
        </w:tc>
        <w:tc>
          <w:tcPr>
            <w:tcW w:w="772" w:type="pct"/>
          </w:tcPr>
          <w:p w14:paraId="73DBD6F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53D34D8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NutriCog </w:t>
            </w:r>
          </w:p>
        </w:tc>
      </w:tr>
      <w:tr w:rsidR="00AB7808" w:rsidRPr="002B4A51" w14:paraId="451171CD" w14:textId="77777777" w:rsidTr="00BC6E90">
        <w:tc>
          <w:tcPr>
            <w:tcW w:w="621" w:type="pct"/>
          </w:tcPr>
          <w:p w14:paraId="1E3F9E9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Galletly et al. (2016)</w:t>
            </w:r>
            <w:r w:rsidRPr="002B4A51">
              <w:rPr>
                <w:rFonts w:ascii="Arial" w:hAnsi="Arial" w:cs="Arial"/>
                <w:sz w:val="24"/>
                <w:szCs w:val="24"/>
                <w:vertAlign w:val="superscript"/>
              </w:rPr>
              <w:t>25</w:t>
            </w:r>
          </w:p>
        </w:tc>
        <w:tc>
          <w:tcPr>
            <w:tcW w:w="1438" w:type="pct"/>
          </w:tcPr>
          <w:p w14:paraId="09B33AF5"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910063" w:rsidRPr="002B4A51">
              <w:rPr>
                <w:rFonts w:ascii="Arial" w:hAnsi="Arial" w:cs="Arial"/>
                <w:sz w:val="24"/>
                <w:szCs w:val="24"/>
              </w:rPr>
              <w:t>adults (20-79) undergoing electroconvulsive therapy for depression (</w:t>
            </w:r>
            <w:r w:rsidR="00910063" w:rsidRPr="002B4A51">
              <w:rPr>
                <w:rFonts w:ascii="Arial" w:hAnsi="Arial" w:cs="Arial"/>
                <w:i/>
                <w:sz w:val="24"/>
                <w:szCs w:val="24"/>
              </w:rPr>
              <w:t>n</w:t>
            </w:r>
            <w:r w:rsidR="00910063" w:rsidRPr="002B4A51">
              <w:rPr>
                <w:rFonts w:ascii="Arial" w:hAnsi="Arial" w:cs="Arial"/>
                <w:sz w:val="24"/>
                <w:szCs w:val="24"/>
              </w:rPr>
              <w:t xml:space="preserve"> = 63)</w:t>
            </w:r>
          </w:p>
        </w:tc>
        <w:tc>
          <w:tcPr>
            <w:tcW w:w="1579" w:type="pct"/>
          </w:tcPr>
          <w:p w14:paraId="3BE97C68"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Effects of electroconvulsive therapy on cognition in depression </w:t>
            </w:r>
          </w:p>
        </w:tc>
        <w:tc>
          <w:tcPr>
            <w:tcW w:w="772" w:type="pct"/>
          </w:tcPr>
          <w:p w14:paraId="07566C7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Experimental  / intervencional</w:t>
            </w:r>
          </w:p>
        </w:tc>
        <w:tc>
          <w:tcPr>
            <w:tcW w:w="591" w:type="pct"/>
          </w:tcPr>
          <w:p w14:paraId="198CAE8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IntegNeuro </w:t>
            </w:r>
          </w:p>
        </w:tc>
      </w:tr>
      <w:tr w:rsidR="00AB7808" w:rsidRPr="002B4A51" w14:paraId="05B93835" w14:textId="77777777" w:rsidTr="00BC6E90">
        <w:tc>
          <w:tcPr>
            <w:tcW w:w="621" w:type="pct"/>
          </w:tcPr>
          <w:p w14:paraId="494794B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Hartung et al. (2016)</w:t>
            </w:r>
            <w:r w:rsidRPr="002B4A51">
              <w:rPr>
                <w:rFonts w:ascii="Arial" w:hAnsi="Arial" w:cs="Arial"/>
                <w:sz w:val="24"/>
                <w:szCs w:val="24"/>
                <w:vertAlign w:val="superscript"/>
              </w:rPr>
              <w:t>26</w:t>
            </w:r>
          </w:p>
        </w:tc>
        <w:tc>
          <w:tcPr>
            <w:tcW w:w="1438" w:type="pct"/>
          </w:tcPr>
          <w:p w14:paraId="5A2243F8"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Healthy or TBI-injured young Americans (8–25) (</w:t>
            </w:r>
            <w:r w:rsidRPr="002B4A51">
              <w:rPr>
                <w:rFonts w:ascii="Arial" w:hAnsi="Arial" w:cs="Arial"/>
                <w:i/>
                <w:sz w:val="24"/>
                <w:szCs w:val="24"/>
                <w:lang w:val="en-US"/>
              </w:rPr>
              <w:t>n</w:t>
            </w:r>
            <w:r w:rsidRPr="002B4A51">
              <w:rPr>
                <w:rFonts w:ascii="Arial" w:hAnsi="Arial" w:cs="Arial"/>
                <w:sz w:val="24"/>
                <w:szCs w:val="24"/>
                <w:lang w:val="en-US"/>
              </w:rPr>
              <w:t xml:space="preserve"> = 161)</w:t>
            </w:r>
          </w:p>
        </w:tc>
        <w:tc>
          <w:tcPr>
            <w:tcW w:w="1579" w:type="pct"/>
          </w:tcPr>
          <w:p w14:paraId="6F96601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Cognition </w:t>
            </w:r>
            <w:r w:rsidR="00AB7808" w:rsidRPr="002B4A51">
              <w:rPr>
                <w:rFonts w:ascii="Arial" w:hAnsi="Arial" w:cs="Arial"/>
                <w:sz w:val="24"/>
                <w:szCs w:val="24"/>
              </w:rPr>
              <w:t>under</w:t>
            </w:r>
            <w:r w:rsidRPr="002B4A51">
              <w:rPr>
                <w:rFonts w:ascii="Arial" w:hAnsi="Arial" w:cs="Arial"/>
                <w:sz w:val="24"/>
                <w:szCs w:val="24"/>
              </w:rPr>
              <w:t xml:space="preserve"> TBI </w:t>
            </w:r>
          </w:p>
        </w:tc>
        <w:tc>
          <w:tcPr>
            <w:tcW w:w="772" w:type="pct"/>
          </w:tcPr>
          <w:p w14:paraId="76F1AB9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04FF00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PennCNB</w:t>
            </w:r>
          </w:p>
        </w:tc>
      </w:tr>
      <w:tr w:rsidR="00AB7808" w:rsidRPr="002B4A51" w14:paraId="336E2D42" w14:textId="77777777" w:rsidTr="00BC6E90">
        <w:tc>
          <w:tcPr>
            <w:tcW w:w="621" w:type="pct"/>
          </w:tcPr>
          <w:p w14:paraId="2DAE0B0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Kuzmickienė e Kaubrys (2016)</w:t>
            </w:r>
            <w:r w:rsidRPr="002B4A51">
              <w:rPr>
                <w:rFonts w:ascii="Arial" w:hAnsi="Arial" w:cs="Arial"/>
                <w:sz w:val="24"/>
                <w:szCs w:val="24"/>
                <w:vertAlign w:val="superscript"/>
              </w:rPr>
              <w:t>27</w:t>
            </w:r>
          </w:p>
        </w:tc>
        <w:tc>
          <w:tcPr>
            <w:tcW w:w="1438" w:type="pct"/>
          </w:tcPr>
          <w:p w14:paraId="08EA6AE8"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l with (76.90 ± 5.20) or without (76.8 ± 6.61) AD (</w:t>
            </w:r>
            <w:r w:rsidRPr="002B4A51">
              <w:rPr>
                <w:rFonts w:ascii="Arial" w:hAnsi="Arial" w:cs="Arial"/>
                <w:i/>
                <w:sz w:val="24"/>
                <w:szCs w:val="24"/>
                <w:lang w:val="en-US"/>
              </w:rPr>
              <w:t>n</w:t>
            </w:r>
            <w:r w:rsidRPr="002B4A51">
              <w:rPr>
                <w:rFonts w:ascii="Arial" w:hAnsi="Arial" w:cs="Arial"/>
                <w:sz w:val="24"/>
                <w:szCs w:val="24"/>
                <w:lang w:val="en-US"/>
              </w:rPr>
              <w:t xml:space="preserve"> = 75)</w:t>
            </w:r>
          </w:p>
        </w:tc>
        <w:tc>
          <w:tcPr>
            <w:tcW w:w="1579" w:type="pct"/>
          </w:tcPr>
          <w:p w14:paraId="24140BD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AD </w:t>
            </w:r>
          </w:p>
        </w:tc>
        <w:tc>
          <w:tcPr>
            <w:tcW w:w="772" w:type="pct"/>
          </w:tcPr>
          <w:p w14:paraId="301619F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5AEF8FD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28EBF6FA" w14:textId="77777777" w:rsidTr="00BC6E90">
        <w:tc>
          <w:tcPr>
            <w:tcW w:w="621" w:type="pct"/>
          </w:tcPr>
          <w:p w14:paraId="24CB040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Piper et al. (2016)</w:t>
            </w:r>
            <w:r w:rsidRPr="002B4A51">
              <w:rPr>
                <w:rFonts w:ascii="Arial" w:hAnsi="Arial" w:cs="Arial"/>
                <w:sz w:val="24"/>
                <w:szCs w:val="24"/>
                <w:vertAlign w:val="superscript"/>
              </w:rPr>
              <w:t>28</w:t>
            </w:r>
          </w:p>
        </w:tc>
        <w:tc>
          <w:tcPr>
            <w:tcW w:w="1438" w:type="pct"/>
          </w:tcPr>
          <w:p w14:paraId="1B65A210"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910063" w:rsidRPr="002B4A51">
              <w:rPr>
                <w:rFonts w:ascii="Arial" w:hAnsi="Arial" w:cs="Arial"/>
                <w:sz w:val="24"/>
                <w:szCs w:val="24"/>
              </w:rPr>
              <w:t>adults (18-34) (</w:t>
            </w:r>
            <w:r w:rsidR="00910063" w:rsidRPr="002B4A51">
              <w:rPr>
                <w:rFonts w:ascii="Arial" w:hAnsi="Arial" w:cs="Arial"/>
                <w:i/>
                <w:sz w:val="24"/>
                <w:szCs w:val="24"/>
              </w:rPr>
              <w:t>n</w:t>
            </w:r>
            <w:r w:rsidR="00910063" w:rsidRPr="002B4A51">
              <w:rPr>
                <w:rFonts w:ascii="Arial" w:hAnsi="Arial" w:cs="Arial"/>
                <w:sz w:val="24"/>
                <w:szCs w:val="24"/>
              </w:rPr>
              <w:t xml:space="preserve"> = 44)</w:t>
            </w:r>
          </w:p>
        </w:tc>
        <w:tc>
          <w:tcPr>
            <w:tcW w:w="1579" w:type="pct"/>
          </w:tcPr>
          <w:p w14:paraId="2506F16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Young adult cognition </w:t>
            </w:r>
          </w:p>
        </w:tc>
        <w:tc>
          <w:tcPr>
            <w:tcW w:w="772" w:type="pct"/>
          </w:tcPr>
          <w:p w14:paraId="166852C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B3CDCB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PEBL </w:t>
            </w:r>
          </w:p>
        </w:tc>
      </w:tr>
      <w:tr w:rsidR="00AB7808" w:rsidRPr="002B4A51" w14:paraId="4B7A6820" w14:textId="77777777" w:rsidTr="00BC6E90">
        <w:tc>
          <w:tcPr>
            <w:tcW w:w="621" w:type="pct"/>
          </w:tcPr>
          <w:p w14:paraId="7F6EABE2"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Yi et al. (2016)</w:t>
            </w:r>
            <w:r w:rsidRPr="002B4A51">
              <w:rPr>
                <w:rFonts w:ascii="Arial" w:hAnsi="Arial" w:cs="Arial"/>
                <w:sz w:val="24"/>
                <w:szCs w:val="24"/>
                <w:vertAlign w:val="superscript"/>
                <w:lang w:val="en-US"/>
              </w:rPr>
              <w:t>29</w:t>
            </w:r>
          </w:p>
        </w:tc>
        <w:tc>
          <w:tcPr>
            <w:tcW w:w="1438" w:type="pct"/>
          </w:tcPr>
          <w:p w14:paraId="53C4FFDA"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AB7808" w:rsidRPr="002B4A51">
              <w:rPr>
                <w:rFonts w:ascii="Arial" w:hAnsi="Arial" w:cs="Arial"/>
                <w:sz w:val="24"/>
                <w:szCs w:val="24"/>
              </w:rPr>
              <w:t>(12-40) and Israeli (12-36) adults with 22q11.2 deletion syndrome (</w:t>
            </w:r>
            <w:r w:rsidR="00AB7808" w:rsidRPr="002B4A51">
              <w:rPr>
                <w:rFonts w:ascii="Arial" w:hAnsi="Arial" w:cs="Arial"/>
                <w:i/>
                <w:sz w:val="24"/>
                <w:szCs w:val="24"/>
              </w:rPr>
              <w:t xml:space="preserve">n </w:t>
            </w:r>
            <w:r w:rsidR="00AB7808" w:rsidRPr="002B4A51">
              <w:rPr>
                <w:rFonts w:ascii="Arial" w:hAnsi="Arial" w:cs="Arial"/>
                <w:sz w:val="24"/>
                <w:szCs w:val="24"/>
              </w:rPr>
              <w:t>= 214)</w:t>
            </w:r>
          </w:p>
        </w:tc>
        <w:tc>
          <w:tcPr>
            <w:tcW w:w="1579" w:type="pct"/>
          </w:tcPr>
          <w:p w14:paraId="479826AF"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Cognition of Americans and Israelis </w:t>
            </w:r>
          </w:p>
        </w:tc>
        <w:tc>
          <w:tcPr>
            <w:tcW w:w="772" w:type="pct"/>
          </w:tcPr>
          <w:p w14:paraId="3310F54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2C9E2EE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PennCNB</w:t>
            </w:r>
          </w:p>
        </w:tc>
      </w:tr>
      <w:tr w:rsidR="00AB7808" w:rsidRPr="002B4A51" w14:paraId="35DDD884" w14:textId="77777777" w:rsidTr="00BC6E90">
        <w:tc>
          <w:tcPr>
            <w:tcW w:w="621" w:type="pct"/>
          </w:tcPr>
          <w:p w14:paraId="31F97868"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Zhang e Feinstein (2016)</w:t>
            </w:r>
            <w:r w:rsidRPr="002B4A51">
              <w:rPr>
                <w:rFonts w:ascii="Arial" w:hAnsi="Arial" w:cs="Arial"/>
                <w:sz w:val="24"/>
                <w:szCs w:val="24"/>
                <w:vertAlign w:val="superscript"/>
                <w:lang w:val="en-US"/>
              </w:rPr>
              <w:t>30</w:t>
            </w:r>
          </w:p>
        </w:tc>
        <w:tc>
          <w:tcPr>
            <w:tcW w:w="1438" w:type="pct"/>
          </w:tcPr>
          <w:p w14:paraId="4A8CED05"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Canadian adults with traumatic brain injury (14-62) (</w:t>
            </w:r>
            <w:r w:rsidRPr="002B4A51">
              <w:rPr>
                <w:rFonts w:ascii="Arial" w:hAnsi="Arial" w:cs="Arial"/>
                <w:i/>
                <w:sz w:val="24"/>
                <w:szCs w:val="24"/>
                <w:lang w:val="en-US"/>
              </w:rPr>
              <w:t xml:space="preserve">n </w:t>
            </w:r>
            <w:r w:rsidRPr="002B4A51">
              <w:rPr>
                <w:rFonts w:ascii="Arial" w:hAnsi="Arial" w:cs="Arial"/>
                <w:sz w:val="24"/>
                <w:szCs w:val="24"/>
                <w:lang w:val="en-US"/>
              </w:rPr>
              <w:t>= 255)</w:t>
            </w:r>
            <w:r w:rsidR="007F1142" w:rsidRPr="002B4A51">
              <w:rPr>
                <w:rFonts w:ascii="Arial" w:hAnsi="Arial" w:cs="Arial"/>
                <w:sz w:val="24"/>
                <w:szCs w:val="24"/>
                <w:lang w:val="en-US"/>
              </w:rPr>
              <w:t xml:space="preserve"> </w:t>
            </w:r>
          </w:p>
        </w:tc>
        <w:tc>
          <w:tcPr>
            <w:tcW w:w="1579" w:type="pct"/>
          </w:tcPr>
          <w:p w14:paraId="1B6DBE59"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traumatic brain injury (development)</w:t>
            </w:r>
          </w:p>
        </w:tc>
        <w:tc>
          <w:tcPr>
            <w:tcW w:w="772" w:type="pct"/>
          </w:tcPr>
          <w:p w14:paraId="5C2C148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21C61B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BCBZF </w:t>
            </w:r>
          </w:p>
        </w:tc>
      </w:tr>
      <w:tr w:rsidR="00AB7808" w:rsidRPr="002B4A51" w14:paraId="21EAEAF3" w14:textId="77777777" w:rsidTr="00BC6E90">
        <w:tc>
          <w:tcPr>
            <w:tcW w:w="621" w:type="pct"/>
          </w:tcPr>
          <w:p w14:paraId="1AC7FF6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Brenkel et al. (2017)</w:t>
            </w:r>
            <w:r w:rsidRPr="002B4A51">
              <w:rPr>
                <w:rFonts w:ascii="Arial" w:hAnsi="Arial" w:cs="Arial"/>
                <w:sz w:val="24"/>
                <w:szCs w:val="24"/>
                <w:vertAlign w:val="superscript"/>
              </w:rPr>
              <w:t>31</w:t>
            </w:r>
          </w:p>
        </w:tc>
        <w:tc>
          <w:tcPr>
            <w:tcW w:w="1438" w:type="pct"/>
          </w:tcPr>
          <w:p w14:paraId="059E7FF2" w14:textId="77777777" w:rsidR="00910063"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Canadian elders (≥ 65) (</w:t>
            </w:r>
            <w:r w:rsidRPr="002B4A51">
              <w:rPr>
                <w:rFonts w:ascii="Arial" w:hAnsi="Arial" w:cs="Arial"/>
                <w:i/>
                <w:sz w:val="24"/>
                <w:szCs w:val="24"/>
              </w:rPr>
              <w:t>n</w:t>
            </w:r>
            <w:r w:rsidRPr="002B4A51">
              <w:rPr>
                <w:rFonts w:ascii="Arial" w:hAnsi="Arial" w:cs="Arial"/>
                <w:sz w:val="24"/>
                <w:szCs w:val="24"/>
              </w:rPr>
              <w:t xml:space="preserve"> = 45)</w:t>
            </w:r>
          </w:p>
        </w:tc>
        <w:tc>
          <w:tcPr>
            <w:tcW w:w="1579" w:type="pct"/>
          </w:tcPr>
          <w:p w14:paraId="2C9F12C0"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cognition (validity based on external measures) </w:t>
            </w:r>
          </w:p>
        </w:tc>
        <w:tc>
          <w:tcPr>
            <w:tcW w:w="772" w:type="pct"/>
          </w:tcPr>
          <w:p w14:paraId="6D9F0D3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9C9E88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CBS  </w:t>
            </w:r>
          </w:p>
        </w:tc>
      </w:tr>
      <w:tr w:rsidR="00AB7808" w:rsidRPr="002B4A51" w14:paraId="5246DF51" w14:textId="77777777" w:rsidTr="00BC6E90">
        <w:tc>
          <w:tcPr>
            <w:tcW w:w="621" w:type="pct"/>
          </w:tcPr>
          <w:p w14:paraId="4C44269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Holdnack et al. (2017)</w:t>
            </w:r>
            <w:r w:rsidRPr="002B4A51">
              <w:rPr>
                <w:rFonts w:ascii="Arial" w:hAnsi="Arial" w:cs="Arial"/>
                <w:sz w:val="24"/>
                <w:szCs w:val="24"/>
                <w:vertAlign w:val="superscript"/>
              </w:rPr>
              <w:t>32</w:t>
            </w:r>
          </w:p>
        </w:tc>
        <w:tc>
          <w:tcPr>
            <w:tcW w:w="1438" w:type="pct"/>
          </w:tcPr>
          <w:p w14:paraId="6D889504" w14:textId="77777777" w:rsidR="00910063" w:rsidRPr="002B4A51" w:rsidRDefault="007F1142"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USA </w:t>
            </w:r>
            <w:r w:rsidR="00AB7808" w:rsidRPr="002B4A51">
              <w:rPr>
                <w:rFonts w:ascii="Arial" w:hAnsi="Arial" w:cs="Arial"/>
                <w:sz w:val="24"/>
                <w:szCs w:val="24"/>
                <w:lang w:val="en-US"/>
              </w:rPr>
              <w:t>adults with (47.4 ± 17.4) or without (38.6 ± 17.4) traumatic brain injury (</w:t>
            </w:r>
            <w:r w:rsidR="00AB7808" w:rsidRPr="002B4A51">
              <w:rPr>
                <w:rFonts w:ascii="Arial" w:hAnsi="Arial" w:cs="Arial"/>
                <w:i/>
                <w:sz w:val="24"/>
                <w:szCs w:val="24"/>
                <w:lang w:val="en-US"/>
              </w:rPr>
              <w:t>n</w:t>
            </w:r>
            <w:r w:rsidR="00AB7808" w:rsidRPr="002B4A51">
              <w:rPr>
                <w:rFonts w:ascii="Arial" w:hAnsi="Arial" w:cs="Arial"/>
                <w:sz w:val="24"/>
                <w:szCs w:val="24"/>
                <w:lang w:val="en-US"/>
              </w:rPr>
              <w:t xml:space="preserve"> = 1,001) </w:t>
            </w:r>
          </w:p>
        </w:tc>
        <w:tc>
          <w:tcPr>
            <w:tcW w:w="1579" w:type="pct"/>
          </w:tcPr>
          <w:p w14:paraId="2BC99C76" w14:textId="77777777" w:rsidR="00910063"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Cognition under TBI</w:t>
            </w:r>
          </w:p>
        </w:tc>
        <w:tc>
          <w:tcPr>
            <w:tcW w:w="772" w:type="pct"/>
          </w:tcPr>
          <w:p w14:paraId="708424D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188570D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NIH Toolbox </w:t>
            </w:r>
          </w:p>
        </w:tc>
      </w:tr>
      <w:tr w:rsidR="00AB7808" w:rsidRPr="002B4A51" w14:paraId="44D3B54C" w14:textId="77777777" w:rsidTr="00BC6E90">
        <w:tc>
          <w:tcPr>
            <w:tcW w:w="621" w:type="pct"/>
          </w:tcPr>
          <w:p w14:paraId="03F1FFE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Kuiper et al. (2017)</w:t>
            </w:r>
            <w:r w:rsidRPr="002B4A51">
              <w:rPr>
                <w:rFonts w:ascii="Arial" w:hAnsi="Arial" w:cs="Arial"/>
                <w:sz w:val="24"/>
                <w:szCs w:val="24"/>
                <w:vertAlign w:val="superscript"/>
              </w:rPr>
              <w:t>33</w:t>
            </w:r>
          </w:p>
        </w:tc>
        <w:tc>
          <w:tcPr>
            <w:tcW w:w="1438" w:type="pct"/>
          </w:tcPr>
          <w:p w14:paraId="75F2A305" w14:textId="77777777" w:rsidR="00910063"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Dutch adults (18-87) (</w:t>
            </w:r>
            <w:r w:rsidRPr="002B4A51">
              <w:rPr>
                <w:rFonts w:ascii="Arial" w:hAnsi="Arial" w:cs="Arial"/>
                <w:i/>
                <w:sz w:val="24"/>
                <w:szCs w:val="24"/>
              </w:rPr>
              <w:t xml:space="preserve">n </w:t>
            </w:r>
            <w:r w:rsidRPr="002B4A51">
              <w:rPr>
                <w:rFonts w:ascii="Arial" w:hAnsi="Arial" w:cs="Arial"/>
                <w:sz w:val="24"/>
                <w:szCs w:val="24"/>
              </w:rPr>
              <w:t>= 494)</w:t>
            </w:r>
          </w:p>
        </w:tc>
        <w:tc>
          <w:tcPr>
            <w:tcW w:w="1579" w:type="pct"/>
          </w:tcPr>
          <w:p w14:paraId="7864E4CF"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of elderly individuals (reliability between different versions)</w:t>
            </w:r>
          </w:p>
        </w:tc>
        <w:tc>
          <w:tcPr>
            <w:tcW w:w="772" w:type="pct"/>
          </w:tcPr>
          <w:p w14:paraId="51AACBE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05DAD7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CogState </w:t>
            </w:r>
          </w:p>
        </w:tc>
      </w:tr>
      <w:tr w:rsidR="00AB7808" w:rsidRPr="002B4A51" w14:paraId="17C2C948" w14:textId="77777777" w:rsidTr="00BC6E90">
        <w:tc>
          <w:tcPr>
            <w:tcW w:w="621" w:type="pct"/>
          </w:tcPr>
          <w:p w14:paraId="08DEF80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Moore et al. (2017)</w:t>
            </w:r>
            <w:r w:rsidRPr="002B4A51">
              <w:rPr>
                <w:rFonts w:ascii="Arial" w:hAnsi="Arial" w:cs="Arial"/>
                <w:sz w:val="24"/>
                <w:szCs w:val="24"/>
                <w:vertAlign w:val="superscript"/>
              </w:rPr>
              <w:t>34</w:t>
            </w:r>
          </w:p>
        </w:tc>
        <w:tc>
          <w:tcPr>
            <w:tcW w:w="1438" w:type="pct"/>
          </w:tcPr>
          <w:p w14:paraId="6CDD1E92"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Highly educated US adults (25-56) (</w:t>
            </w:r>
            <w:r w:rsidRPr="002B4A51">
              <w:rPr>
                <w:rFonts w:ascii="Arial" w:hAnsi="Arial" w:cs="Arial"/>
                <w:i/>
                <w:sz w:val="24"/>
                <w:szCs w:val="24"/>
                <w:lang w:val="en-US"/>
              </w:rPr>
              <w:t>n</w:t>
            </w:r>
            <w:r w:rsidRPr="002B4A51">
              <w:rPr>
                <w:rFonts w:ascii="Arial" w:hAnsi="Arial" w:cs="Arial"/>
                <w:sz w:val="24"/>
                <w:szCs w:val="24"/>
                <w:lang w:val="en-US"/>
              </w:rPr>
              <w:t xml:space="preserve"> = 96)</w:t>
            </w:r>
          </w:p>
        </w:tc>
        <w:tc>
          <w:tcPr>
            <w:tcW w:w="1579" w:type="pct"/>
          </w:tcPr>
          <w:p w14:paraId="79EAA991"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general cognitive screening battery (development and validation)</w:t>
            </w:r>
          </w:p>
        </w:tc>
        <w:tc>
          <w:tcPr>
            <w:tcW w:w="772" w:type="pct"/>
          </w:tcPr>
          <w:p w14:paraId="3A781A7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C9CD5C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Cognition e WinSCAT </w:t>
            </w:r>
          </w:p>
        </w:tc>
      </w:tr>
      <w:tr w:rsidR="00AB7808" w:rsidRPr="002B4A51" w14:paraId="53A4B469" w14:textId="77777777" w:rsidTr="00BC6E90">
        <w:tc>
          <w:tcPr>
            <w:tcW w:w="621" w:type="pct"/>
          </w:tcPr>
          <w:p w14:paraId="26B07E4A"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Völter et al. (2017)</w:t>
            </w:r>
            <w:r w:rsidRPr="002B4A51">
              <w:rPr>
                <w:rFonts w:ascii="Arial" w:hAnsi="Arial" w:cs="Arial"/>
                <w:sz w:val="24"/>
                <w:szCs w:val="24"/>
                <w:vertAlign w:val="superscript"/>
                <w:lang w:val="en-US"/>
              </w:rPr>
              <w:t>35</w:t>
            </w:r>
          </w:p>
        </w:tc>
        <w:tc>
          <w:tcPr>
            <w:tcW w:w="1438" w:type="pct"/>
          </w:tcPr>
          <w:p w14:paraId="5BE99A06"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Older adults (50-90) divided into groups with and without hearing loss (</w:t>
            </w:r>
            <w:r w:rsidRPr="002B4A51">
              <w:rPr>
                <w:rFonts w:ascii="Arial" w:hAnsi="Arial" w:cs="Arial"/>
                <w:i/>
                <w:sz w:val="24"/>
                <w:szCs w:val="24"/>
                <w:lang w:val="en-US"/>
              </w:rPr>
              <w:t>n</w:t>
            </w:r>
            <w:r w:rsidRPr="002B4A51">
              <w:rPr>
                <w:rFonts w:ascii="Arial" w:hAnsi="Arial" w:cs="Arial"/>
                <w:sz w:val="24"/>
                <w:szCs w:val="24"/>
                <w:lang w:val="en-US"/>
              </w:rPr>
              <w:t xml:space="preserve"> = 120) </w:t>
            </w:r>
          </w:p>
        </w:tc>
        <w:tc>
          <w:tcPr>
            <w:tcW w:w="1579" w:type="pct"/>
          </w:tcPr>
          <w:p w14:paraId="2BC6BA6A"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elderly individuals with and without hearing loss (validity based on external measures) </w:t>
            </w:r>
          </w:p>
        </w:tc>
        <w:tc>
          <w:tcPr>
            <w:tcW w:w="772" w:type="pct"/>
          </w:tcPr>
          <w:p w14:paraId="01EA2D0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FCD578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B-ALA </w:t>
            </w:r>
          </w:p>
        </w:tc>
      </w:tr>
      <w:tr w:rsidR="00AB7808" w:rsidRPr="002B4A51" w14:paraId="54E53AD8" w14:textId="77777777" w:rsidTr="00BC6E90">
        <w:tc>
          <w:tcPr>
            <w:tcW w:w="621" w:type="pct"/>
          </w:tcPr>
          <w:p w14:paraId="70A9F81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Cotter et al. (2018)</w:t>
            </w:r>
            <w:r w:rsidRPr="002B4A51">
              <w:rPr>
                <w:rFonts w:ascii="Arial" w:hAnsi="Arial" w:cs="Arial"/>
                <w:sz w:val="24"/>
                <w:szCs w:val="24"/>
                <w:vertAlign w:val="superscript"/>
              </w:rPr>
              <w:t>36</w:t>
            </w:r>
          </w:p>
        </w:tc>
        <w:tc>
          <w:tcPr>
            <w:tcW w:w="1438" w:type="pct"/>
          </w:tcPr>
          <w:p w14:paraId="43A02D74"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British adults with MS (22-70) (</w:t>
            </w:r>
            <w:r w:rsidRPr="002B4A51">
              <w:rPr>
                <w:rFonts w:ascii="Arial" w:hAnsi="Arial" w:cs="Arial"/>
                <w:i/>
                <w:sz w:val="24"/>
                <w:szCs w:val="24"/>
                <w:lang w:val="en-US"/>
              </w:rPr>
              <w:t>n</w:t>
            </w:r>
            <w:r w:rsidRPr="002B4A51">
              <w:rPr>
                <w:rFonts w:ascii="Arial" w:hAnsi="Arial" w:cs="Arial"/>
                <w:sz w:val="24"/>
                <w:szCs w:val="24"/>
                <w:lang w:val="en-US"/>
              </w:rPr>
              <w:t xml:space="preserve"> = 90)</w:t>
            </w:r>
          </w:p>
        </w:tc>
        <w:tc>
          <w:tcPr>
            <w:tcW w:w="1579" w:type="pct"/>
          </w:tcPr>
          <w:p w14:paraId="72FC888A" w14:textId="77777777" w:rsidR="00910063"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MS   </w:t>
            </w:r>
          </w:p>
        </w:tc>
        <w:tc>
          <w:tcPr>
            <w:tcW w:w="772" w:type="pct"/>
          </w:tcPr>
          <w:p w14:paraId="5D0F085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4BF2B1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116A8452" w14:textId="77777777" w:rsidTr="00BC6E90">
        <w:tc>
          <w:tcPr>
            <w:tcW w:w="621" w:type="pct"/>
          </w:tcPr>
          <w:p w14:paraId="790F455C" w14:textId="77777777" w:rsidR="00AB7808"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de Meijer et al. (2018)</w:t>
            </w:r>
            <w:r w:rsidRPr="002B4A51">
              <w:rPr>
                <w:rFonts w:ascii="Arial" w:hAnsi="Arial" w:cs="Arial"/>
                <w:sz w:val="24"/>
                <w:szCs w:val="24"/>
                <w:vertAlign w:val="superscript"/>
              </w:rPr>
              <w:t>37</w:t>
            </w:r>
          </w:p>
        </w:tc>
        <w:tc>
          <w:tcPr>
            <w:tcW w:w="1438" w:type="pct"/>
          </w:tcPr>
          <w:p w14:paraId="59E4D2E8" w14:textId="77777777" w:rsidR="00AB7808"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Australian adults with multiple sclerosis (47.5 ± 12.4) or healthy (35.2 ± 14.7) (</w:t>
            </w:r>
            <w:r w:rsidRPr="002B4A51">
              <w:rPr>
                <w:rFonts w:ascii="Arial" w:hAnsi="Arial" w:cs="Arial"/>
                <w:i/>
                <w:sz w:val="24"/>
                <w:szCs w:val="24"/>
                <w:lang w:val="en-US"/>
              </w:rPr>
              <w:t>n</w:t>
            </w:r>
            <w:r w:rsidRPr="002B4A51">
              <w:rPr>
                <w:rFonts w:ascii="Arial" w:hAnsi="Arial" w:cs="Arial"/>
                <w:sz w:val="24"/>
                <w:szCs w:val="24"/>
                <w:lang w:val="en-US"/>
              </w:rPr>
              <w:t xml:space="preserve"> = 106)</w:t>
            </w:r>
          </w:p>
        </w:tc>
        <w:tc>
          <w:tcPr>
            <w:tcW w:w="1579" w:type="pct"/>
          </w:tcPr>
          <w:p w14:paraId="3A7BEB1E" w14:textId="77777777" w:rsidR="00AB7808"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MS   </w:t>
            </w:r>
          </w:p>
        </w:tc>
        <w:tc>
          <w:tcPr>
            <w:tcW w:w="772" w:type="pct"/>
          </w:tcPr>
          <w:p w14:paraId="3EF7B9C3" w14:textId="77777777" w:rsidR="00AB7808"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409E3BD7" w14:textId="77777777" w:rsidR="00AB7808"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 xml:space="preserve">CogState (Brief Battery) </w:t>
            </w:r>
          </w:p>
        </w:tc>
      </w:tr>
      <w:tr w:rsidR="00AB7808" w:rsidRPr="002B4A51" w14:paraId="4EA470B8" w14:textId="77777777" w:rsidTr="00BC6E90">
        <w:tc>
          <w:tcPr>
            <w:tcW w:w="621" w:type="pct"/>
          </w:tcPr>
          <w:p w14:paraId="3E62EFC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Gonçalves et al. (2018)</w:t>
            </w:r>
            <w:r w:rsidRPr="002B4A51">
              <w:rPr>
                <w:rFonts w:ascii="Arial" w:hAnsi="Arial" w:cs="Arial"/>
                <w:sz w:val="24"/>
                <w:szCs w:val="24"/>
                <w:vertAlign w:val="superscript"/>
              </w:rPr>
              <w:t>38</w:t>
            </w:r>
          </w:p>
        </w:tc>
        <w:tc>
          <w:tcPr>
            <w:tcW w:w="1438" w:type="pct"/>
          </w:tcPr>
          <w:p w14:paraId="749511F5" w14:textId="77777777" w:rsidR="00910063" w:rsidRPr="002B4A51" w:rsidRDefault="00AB7808" w:rsidP="002B4A51">
            <w:pPr>
              <w:spacing w:after="0" w:line="360" w:lineRule="auto"/>
              <w:jc w:val="both"/>
              <w:rPr>
                <w:rFonts w:ascii="Arial" w:hAnsi="Arial" w:cs="Arial"/>
                <w:sz w:val="24"/>
                <w:szCs w:val="24"/>
              </w:rPr>
            </w:pPr>
            <w:r w:rsidRPr="002B4A51">
              <w:rPr>
                <w:rFonts w:ascii="Arial" w:hAnsi="Arial" w:cs="Arial"/>
                <w:sz w:val="24"/>
                <w:szCs w:val="24"/>
              </w:rPr>
              <w:t>Portuguese adults (65-96) with AD (</w:t>
            </w:r>
            <w:r w:rsidRPr="002B4A51">
              <w:rPr>
                <w:rFonts w:ascii="Arial" w:hAnsi="Arial" w:cs="Arial"/>
                <w:i/>
                <w:sz w:val="24"/>
                <w:szCs w:val="24"/>
              </w:rPr>
              <w:t xml:space="preserve">n </w:t>
            </w:r>
            <w:r w:rsidRPr="002B4A51">
              <w:rPr>
                <w:rFonts w:ascii="Arial" w:hAnsi="Arial" w:cs="Arial"/>
                <w:sz w:val="24"/>
                <w:szCs w:val="24"/>
              </w:rPr>
              <w:t>= 137)</w:t>
            </w:r>
          </w:p>
        </w:tc>
        <w:tc>
          <w:tcPr>
            <w:tcW w:w="1579" w:type="pct"/>
          </w:tcPr>
          <w:p w14:paraId="15DEE974"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elderly individuals with AD (validity based on external measures)  </w:t>
            </w:r>
          </w:p>
        </w:tc>
        <w:tc>
          <w:tcPr>
            <w:tcW w:w="772" w:type="pct"/>
          </w:tcPr>
          <w:p w14:paraId="23AECDF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41FAFB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5CF109A1" w14:textId="77777777" w:rsidTr="00BC6E90">
        <w:tc>
          <w:tcPr>
            <w:tcW w:w="621" w:type="pct"/>
          </w:tcPr>
          <w:p w14:paraId="1585250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Biagianti et al. (2019)</w:t>
            </w:r>
            <w:r w:rsidRPr="002B4A51">
              <w:rPr>
                <w:rFonts w:ascii="Arial" w:hAnsi="Arial" w:cs="Arial"/>
                <w:sz w:val="24"/>
                <w:szCs w:val="24"/>
                <w:vertAlign w:val="superscript"/>
              </w:rPr>
              <w:t>39</w:t>
            </w:r>
          </w:p>
        </w:tc>
        <w:tc>
          <w:tcPr>
            <w:tcW w:w="1438" w:type="pct"/>
          </w:tcPr>
          <w:p w14:paraId="2FE948E4"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Healthy adults or adults with schizophrenia (16-65) (</w:t>
            </w:r>
            <w:r w:rsidRPr="002B4A51">
              <w:rPr>
                <w:rFonts w:ascii="Arial" w:hAnsi="Arial" w:cs="Arial"/>
                <w:i/>
                <w:sz w:val="24"/>
                <w:szCs w:val="24"/>
                <w:lang w:val="en-US"/>
              </w:rPr>
              <w:t>n</w:t>
            </w:r>
            <w:r w:rsidRPr="002B4A51">
              <w:rPr>
                <w:rFonts w:ascii="Arial" w:hAnsi="Arial" w:cs="Arial"/>
                <w:sz w:val="24"/>
                <w:szCs w:val="24"/>
                <w:lang w:val="en-US"/>
              </w:rPr>
              <w:t xml:space="preserve"> = 391) </w:t>
            </w:r>
          </w:p>
        </w:tc>
        <w:tc>
          <w:tcPr>
            <w:tcW w:w="1579" w:type="pct"/>
          </w:tcPr>
          <w:p w14:paraId="239E2F24"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schizophrenia (validity based on external measures)</w:t>
            </w:r>
          </w:p>
        </w:tc>
        <w:tc>
          <w:tcPr>
            <w:tcW w:w="772" w:type="pct"/>
          </w:tcPr>
          <w:p w14:paraId="0683498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75A8848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ONAs</w:t>
            </w:r>
          </w:p>
        </w:tc>
      </w:tr>
      <w:tr w:rsidR="00AB7808" w:rsidRPr="002B4A51" w14:paraId="633A0A95" w14:textId="77777777" w:rsidTr="00BC6E90">
        <w:tc>
          <w:tcPr>
            <w:tcW w:w="621" w:type="pct"/>
          </w:tcPr>
          <w:p w14:paraId="260B568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Cerhan et al. (2019)</w:t>
            </w:r>
            <w:r w:rsidRPr="002B4A51">
              <w:rPr>
                <w:rFonts w:ascii="Arial" w:hAnsi="Arial" w:cs="Arial"/>
                <w:sz w:val="24"/>
                <w:szCs w:val="24"/>
                <w:vertAlign w:val="superscript"/>
              </w:rPr>
              <w:t>40</w:t>
            </w:r>
          </w:p>
        </w:tc>
        <w:tc>
          <w:tcPr>
            <w:tcW w:w="1438" w:type="pct"/>
          </w:tcPr>
          <w:p w14:paraId="1C046319"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AB7808" w:rsidRPr="002B4A51">
              <w:rPr>
                <w:rFonts w:ascii="Arial" w:hAnsi="Arial" w:cs="Arial"/>
                <w:sz w:val="24"/>
                <w:szCs w:val="24"/>
              </w:rPr>
              <w:t>adults (30-76) with high-grade glioma (</w:t>
            </w:r>
            <w:r w:rsidR="00AB7808" w:rsidRPr="002B4A51">
              <w:rPr>
                <w:rFonts w:ascii="Arial" w:hAnsi="Arial" w:cs="Arial"/>
                <w:i/>
                <w:sz w:val="24"/>
                <w:szCs w:val="24"/>
              </w:rPr>
              <w:t>n</w:t>
            </w:r>
            <w:r w:rsidR="00AB7808" w:rsidRPr="002B4A51">
              <w:rPr>
                <w:rFonts w:ascii="Arial" w:hAnsi="Arial" w:cs="Arial"/>
                <w:sz w:val="24"/>
                <w:szCs w:val="24"/>
              </w:rPr>
              <w:t xml:space="preserve"> = 40)</w:t>
            </w:r>
          </w:p>
        </w:tc>
        <w:tc>
          <w:tcPr>
            <w:tcW w:w="1579" w:type="pct"/>
          </w:tcPr>
          <w:p w14:paraId="6F5A83EE"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cognition in glioma (internal reliability)</w:t>
            </w:r>
          </w:p>
        </w:tc>
        <w:tc>
          <w:tcPr>
            <w:tcW w:w="772" w:type="pct"/>
          </w:tcPr>
          <w:p w14:paraId="7E84371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1429AD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CogState  </w:t>
            </w:r>
          </w:p>
        </w:tc>
      </w:tr>
      <w:tr w:rsidR="00AB7808" w:rsidRPr="002B4A51" w14:paraId="26C308D9" w14:textId="77777777" w:rsidTr="00BC6E90">
        <w:tc>
          <w:tcPr>
            <w:tcW w:w="621" w:type="pct"/>
          </w:tcPr>
          <w:p w14:paraId="44B4DAF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Golan et al. (2019)</w:t>
            </w:r>
            <w:r w:rsidRPr="002B4A51">
              <w:rPr>
                <w:rFonts w:ascii="Arial" w:hAnsi="Arial" w:cs="Arial"/>
                <w:sz w:val="24"/>
                <w:szCs w:val="24"/>
                <w:vertAlign w:val="superscript"/>
              </w:rPr>
              <w:t>41</w:t>
            </w:r>
          </w:p>
        </w:tc>
        <w:tc>
          <w:tcPr>
            <w:tcW w:w="1438" w:type="pct"/>
          </w:tcPr>
          <w:p w14:paraId="6941BBC1" w14:textId="77777777" w:rsidR="00910063" w:rsidRPr="002B4A51" w:rsidRDefault="00AB7808"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US adults (25-55) with MS (</w:t>
            </w:r>
            <w:r w:rsidRPr="002B4A51">
              <w:rPr>
                <w:rFonts w:ascii="Arial" w:hAnsi="Arial" w:cs="Arial"/>
                <w:i/>
                <w:sz w:val="24"/>
                <w:szCs w:val="24"/>
                <w:lang w:val="en-US"/>
              </w:rPr>
              <w:t>n</w:t>
            </w:r>
            <w:r w:rsidRPr="002B4A51">
              <w:rPr>
                <w:rFonts w:ascii="Arial" w:hAnsi="Arial" w:cs="Arial"/>
                <w:sz w:val="24"/>
                <w:szCs w:val="24"/>
                <w:lang w:val="en-US"/>
              </w:rPr>
              <w:t xml:space="preserve"> = 96)</w:t>
            </w:r>
          </w:p>
        </w:tc>
        <w:tc>
          <w:tcPr>
            <w:tcW w:w="1579" w:type="pct"/>
          </w:tcPr>
          <w:p w14:paraId="19CCBC86"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MS (validity based on external measures)</w:t>
            </w:r>
          </w:p>
        </w:tc>
        <w:tc>
          <w:tcPr>
            <w:tcW w:w="772" w:type="pct"/>
          </w:tcPr>
          <w:p w14:paraId="5E69194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0FA8B6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Neurotrax </w:t>
            </w:r>
          </w:p>
        </w:tc>
      </w:tr>
      <w:tr w:rsidR="007034BF" w:rsidRPr="002B4A51" w14:paraId="43285F03" w14:textId="77777777" w:rsidTr="00BC6E90">
        <w:trPr>
          <w:trHeight w:val="1679"/>
        </w:trPr>
        <w:tc>
          <w:tcPr>
            <w:tcW w:w="621" w:type="pct"/>
          </w:tcPr>
          <w:p w14:paraId="23372E2C"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Helmstaedter et al. (2019)</w:t>
            </w:r>
            <w:r w:rsidRPr="002B4A51">
              <w:rPr>
                <w:rFonts w:ascii="Arial" w:hAnsi="Arial" w:cs="Arial"/>
                <w:sz w:val="24"/>
                <w:szCs w:val="24"/>
                <w:vertAlign w:val="superscript"/>
              </w:rPr>
              <w:t>42</w:t>
            </w:r>
          </w:p>
        </w:tc>
        <w:tc>
          <w:tcPr>
            <w:tcW w:w="1438" w:type="pct"/>
          </w:tcPr>
          <w:p w14:paraId="16F31BF3" w14:textId="77777777" w:rsidR="007034BF"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German adults (35.7 ± 12.0) taking antiepileptic drugs (</w:t>
            </w:r>
            <w:r w:rsidRPr="002B4A51">
              <w:rPr>
                <w:rFonts w:ascii="Arial" w:hAnsi="Arial" w:cs="Arial"/>
                <w:i/>
                <w:sz w:val="24"/>
                <w:szCs w:val="24"/>
                <w:lang w:val="en-US"/>
              </w:rPr>
              <w:t>n</w:t>
            </w:r>
            <w:r w:rsidRPr="002B4A51">
              <w:rPr>
                <w:rFonts w:ascii="Arial" w:hAnsi="Arial" w:cs="Arial"/>
                <w:sz w:val="24"/>
                <w:szCs w:val="24"/>
                <w:lang w:val="en-US"/>
              </w:rPr>
              <w:t xml:space="preserve"> = 55)</w:t>
            </w:r>
          </w:p>
        </w:tc>
        <w:tc>
          <w:tcPr>
            <w:tcW w:w="1579" w:type="pct"/>
          </w:tcPr>
          <w:p w14:paraId="0783FFD3" w14:textId="77777777" w:rsidR="007034BF"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epilepsy (validity based on external measures)</w:t>
            </w:r>
          </w:p>
        </w:tc>
        <w:tc>
          <w:tcPr>
            <w:tcW w:w="772" w:type="pct"/>
          </w:tcPr>
          <w:p w14:paraId="6DFA08DF"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C333296"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 xml:space="preserve">NeuroCog FX </w:t>
            </w:r>
          </w:p>
        </w:tc>
      </w:tr>
      <w:tr w:rsidR="00AB7808" w:rsidRPr="002B4A51" w14:paraId="0B001531" w14:textId="77777777" w:rsidTr="00BC6E90">
        <w:tc>
          <w:tcPr>
            <w:tcW w:w="621" w:type="pct"/>
          </w:tcPr>
          <w:p w14:paraId="7ED1CA9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Lunter et al. (2019)</w:t>
            </w:r>
            <w:r w:rsidRPr="002B4A51">
              <w:rPr>
                <w:rFonts w:ascii="Arial" w:hAnsi="Arial" w:cs="Arial"/>
                <w:sz w:val="24"/>
                <w:szCs w:val="24"/>
                <w:vertAlign w:val="superscript"/>
              </w:rPr>
              <w:t>43</w:t>
            </w:r>
          </w:p>
        </w:tc>
        <w:tc>
          <w:tcPr>
            <w:tcW w:w="1438" w:type="pct"/>
          </w:tcPr>
          <w:p w14:paraId="51569850"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British adults with (18-77) or without (19-69) traumatic brain injury (</w:t>
            </w:r>
            <w:r w:rsidRPr="002B4A51">
              <w:rPr>
                <w:rFonts w:ascii="Arial" w:hAnsi="Arial" w:cs="Arial"/>
                <w:i/>
                <w:sz w:val="24"/>
                <w:szCs w:val="24"/>
                <w:lang w:val="en-US"/>
              </w:rPr>
              <w:t>n</w:t>
            </w:r>
            <w:r w:rsidRPr="002B4A51">
              <w:rPr>
                <w:rFonts w:ascii="Arial" w:hAnsi="Arial" w:cs="Arial"/>
                <w:sz w:val="24"/>
                <w:szCs w:val="24"/>
                <w:lang w:val="en-US"/>
              </w:rPr>
              <w:t xml:space="preserve"> = 76)</w:t>
            </w:r>
          </w:p>
        </w:tc>
        <w:tc>
          <w:tcPr>
            <w:tcW w:w="1579" w:type="pct"/>
          </w:tcPr>
          <w:p w14:paraId="021E2695" w14:textId="77777777" w:rsidR="00910063"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TBI </w:t>
            </w:r>
          </w:p>
        </w:tc>
        <w:tc>
          <w:tcPr>
            <w:tcW w:w="772" w:type="pct"/>
          </w:tcPr>
          <w:p w14:paraId="59BADCB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70B280B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756ADC05" w14:textId="77777777" w:rsidTr="00BC6E90">
        <w:tc>
          <w:tcPr>
            <w:tcW w:w="621" w:type="pct"/>
          </w:tcPr>
          <w:p w14:paraId="1D39BB44"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Sicard et al. (2019)</w:t>
            </w:r>
            <w:r w:rsidRPr="002B4A51">
              <w:rPr>
                <w:rFonts w:ascii="Arial" w:hAnsi="Arial" w:cs="Arial"/>
                <w:sz w:val="24"/>
                <w:szCs w:val="24"/>
                <w:vertAlign w:val="superscript"/>
                <w:lang w:val="en-US"/>
              </w:rPr>
              <w:t>44</w:t>
            </w:r>
          </w:p>
        </w:tc>
        <w:tc>
          <w:tcPr>
            <w:tcW w:w="1438" w:type="pct"/>
          </w:tcPr>
          <w:p w14:paraId="4AD1D799"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(21.30 ± 0.18) or without (21.55 ± 0.25) concussion (</w:t>
            </w:r>
            <w:r w:rsidRPr="002B4A51">
              <w:rPr>
                <w:rFonts w:ascii="Arial" w:hAnsi="Arial" w:cs="Arial"/>
                <w:i/>
                <w:sz w:val="24"/>
                <w:szCs w:val="24"/>
                <w:lang w:val="en-US"/>
              </w:rPr>
              <w:t>n</w:t>
            </w:r>
            <w:r w:rsidRPr="002B4A51">
              <w:rPr>
                <w:rFonts w:ascii="Arial" w:hAnsi="Arial" w:cs="Arial"/>
                <w:sz w:val="24"/>
                <w:szCs w:val="24"/>
                <w:lang w:val="en-US"/>
              </w:rPr>
              <w:t xml:space="preserve"> = 120)</w:t>
            </w:r>
          </w:p>
        </w:tc>
        <w:tc>
          <w:tcPr>
            <w:tcW w:w="1579" w:type="pct"/>
          </w:tcPr>
          <w:p w14:paraId="6F48F5C0"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concussion (validity based on external measures) </w:t>
            </w:r>
          </w:p>
        </w:tc>
        <w:tc>
          <w:tcPr>
            <w:tcW w:w="772" w:type="pct"/>
          </w:tcPr>
          <w:p w14:paraId="5D08B98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2C2C77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CogState </w:t>
            </w:r>
          </w:p>
        </w:tc>
      </w:tr>
      <w:tr w:rsidR="00AB7808" w:rsidRPr="002B4A51" w14:paraId="0CF0CD4F" w14:textId="77777777" w:rsidTr="00BC6E90">
        <w:tc>
          <w:tcPr>
            <w:tcW w:w="621" w:type="pct"/>
          </w:tcPr>
          <w:p w14:paraId="1F87AA1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Chin et al. (2020)</w:t>
            </w:r>
            <w:r w:rsidRPr="002B4A51">
              <w:rPr>
                <w:rFonts w:ascii="Arial" w:hAnsi="Arial" w:cs="Arial"/>
                <w:sz w:val="24"/>
                <w:szCs w:val="24"/>
                <w:vertAlign w:val="superscript"/>
              </w:rPr>
              <w:t>45</w:t>
            </w:r>
          </w:p>
        </w:tc>
        <w:tc>
          <w:tcPr>
            <w:tcW w:w="1438" w:type="pct"/>
          </w:tcPr>
          <w:p w14:paraId="329450ED" w14:textId="77777777" w:rsidR="00910063"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Korean elderly (50-90) (</w:t>
            </w:r>
            <w:r w:rsidRPr="002B4A51">
              <w:rPr>
                <w:rFonts w:ascii="Arial" w:hAnsi="Arial" w:cs="Arial"/>
                <w:i/>
                <w:sz w:val="24"/>
                <w:szCs w:val="24"/>
              </w:rPr>
              <w:t xml:space="preserve">n </w:t>
            </w:r>
            <w:r w:rsidRPr="002B4A51">
              <w:rPr>
                <w:rFonts w:ascii="Arial" w:hAnsi="Arial" w:cs="Arial"/>
                <w:sz w:val="24"/>
                <w:szCs w:val="24"/>
              </w:rPr>
              <w:t>= 480)</w:t>
            </w:r>
          </w:p>
        </w:tc>
        <w:tc>
          <w:tcPr>
            <w:tcW w:w="1579" w:type="pct"/>
          </w:tcPr>
          <w:p w14:paraId="7EF16C82"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elderly individuals (development) </w:t>
            </w:r>
          </w:p>
        </w:tc>
        <w:tc>
          <w:tcPr>
            <w:tcW w:w="772" w:type="pct"/>
          </w:tcPr>
          <w:p w14:paraId="0EDCC45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4664327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Inbrain CST </w:t>
            </w:r>
          </w:p>
        </w:tc>
      </w:tr>
      <w:tr w:rsidR="00AB7808" w:rsidRPr="002B4A51" w14:paraId="30A04C84" w14:textId="77777777" w:rsidTr="00BC6E90">
        <w:tc>
          <w:tcPr>
            <w:tcW w:w="621" w:type="pct"/>
          </w:tcPr>
          <w:p w14:paraId="0D010D8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Feinkohl et al. (2020)</w:t>
            </w:r>
            <w:r w:rsidRPr="002B4A51">
              <w:rPr>
                <w:rFonts w:ascii="Arial" w:hAnsi="Arial" w:cs="Arial"/>
                <w:sz w:val="24"/>
                <w:szCs w:val="24"/>
                <w:vertAlign w:val="superscript"/>
              </w:rPr>
              <w:t>46</w:t>
            </w:r>
          </w:p>
        </w:tc>
        <w:tc>
          <w:tcPr>
            <w:tcW w:w="1438" w:type="pct"/>
          </w:tcPr>
          <w:p w14:paraId="7C70552B"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German and Dutch elderly (65-89) (</w:t>
            </w:r>
            <w:r w:rsidRPr="002B4A51">
              <w:rPr>
                <w:rFonts w:ascii="Arial" w:hAnsi="Arial" w:cs="Arial"/>
                <w:i/>
                <w:sz w:val="24"/>
                <w:szCs w:val="24"/>
                <w:lang w:val="en-US"/>
              </w:rPr>
              <w:t>n</w:t>
            </w:r>
            <w:r w:rsidRPr="002B4A51">
              <w:rPr>
                <w:rFonts w:ascii="Arial" w:hAnsi="Arial" w:cs="Arial"/>
                <w:sz w:val="24"/>
                <w:szCs w:val="24"/>
                <w:lang w:val="en-US"/>
              </w:rPr>
              <w:t xml:space="preserve"> = 45) </w:t>
            </w:r>
          </w:p>
        </w:tc>
        <w:tc>
          <w:tcPr>
            <w:tcW w:w="1579" w:type="pct"/>
          </w:tcPr>
          <w:p w14:paraId="7C80591D"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of elderly individuals (internal reliability)</w:t>
            </w:r>
          </w:p>
        </w:tc>
        <w:tc>
          <w:tcPr>
            <w:tcW w:w="772" w:type="pct"/>
          </w:tcPr>
          <w:p w14:paraId="62E7AF8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6D45FA4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0A9D3E2D" w14:textId="77777777" w:rsidTr="00BC6E90">
        <w:tc>
          <w:tcPr>
            <w:tcW w:w="621" w:type="pct"/>
          </w:tcPr>
          <w:p w14:paraId="10A43734"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Nordenswan et al. (2020)</w:t>
            </w:r>
            <w:r w:rsidRPr="002B4A51">
              <w:rPr>
                <w:rFonts w:ascii="Arial" w:hAnsi="Arial" w:cs="Arial"/>
                <w:sz w:val="24"/>
                <w:szCs w:val="24"/>
                <w:vertAlign w:val="superscript"/>
                <w:lang w:val="en-US"/>
              </w:rPr>
              <w:t>47</w:t>
            </w:r>
          </w:p>
        </w:tc>
        <w:tc>
          <w:tcPr>
            <w:tcW w:w="1438" w:type="pct"/>
          </w:tcPr>
          <w:p w14:paraId="06E671CD" w14:textId="77777777" w:rsidR="00910063"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Finnish adults (21-46) (</w:t>
            </w:r>
            <w:r w:rsidRPr="002B4A51">
              <w:rPr>
                <w:rFonts w:ascii="Arial" w:hAnsi="Arial" w:cs="Arial"/>
                <w:i/>
                <w:sz w:val="24"/>
                <w:szCs w:val="24"/>
              </w:rPr>
              <w:t>n</w:t>
            </w:r>
            <w:r w:rsidRPr="002B4A51">
              <w:rPr>
                <w:rFonts w:ascii="Arial" w:hAnsi="Arial" w:cs="Arial"/>
                <w:sz w:val="24"/>
                <w:szCs w:val="24"/>
              </w:rPr>
              <w:t xml:space="preserve"> = 233)</w:t>
            </w:r>
          </w:p>
        </w:tc>
        <w:tc>
          <w:tcPr>
            <w:tcW w:w="1579" w:type="pct"/>
          </w:tcPr>
          <w:p w14:paraId="51A889E2"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general cognitive screening (validity based on internal structure)</w:t>
            </w:r>
          </w:p>
        </w:tc>
        <w:tc>
          <w:tcPr>
            <w:tcW w:w="772" w:type="pct"/>
          </w:tcPr>
          <w:p w14:paraId="49BE76B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2ADD65F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CogState</w:t>
            </w:r>
          </w:p>
        </w:tc>
      </w:tr>
      <w:tr w:rsidR="00AB7808" w:rsidRPr="002B4A51" w14:paraId="42A66AEB" w14:textId="77777777" w:rsidTr="00BC6E90">
        <w:tc>
          <w:tcPr>
            <w:tcW w:w="621" w:type="pct"/>
          </w:tcPr>
          <w:p w14:paraId="4D66F37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Alegret et al. (2021)</w:t>
            </w:r>
            <w:r w:rsidRPr="002B4A51">
              <w:rPr>
                <w:rFonts w:ascii="Arial" w:hAnsi="Arial" w:cs="Arial"/>
                <w:sz w:val="24"/>
                <w:szCs w:val="24"/>
                <w:vertAlign w:val="superscript"/>
              </w:rPr>
              <w:t>48</w:t>
            </w:r>
          </w:p>
        </w:tc>
        <w:tc>
          <w:tcPr>
            <w:tcW w:w="1438" w:type="pct"/>
          </w:tcPr>
          <w:p w14:paraId="019772D4" w14:textId="77777777" w:rsidR="00910063"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Spanish adults (46-93) (</w:t>
            </w:r>
            <w:r w:rsidRPr="002B4A51">
              <w:rPr>
                <w:rFonts w:ascii="Arial" w:hAnsi="Arial" w:cs="Arial"/>
                <w:i/>
                <w:sz w:val="24"/>
                <w:szCs w:val="24"/>
              </w:rPr>
              <w:t>n</w:t>
            </w:r>
            <w:r w:rsidRPr="002B4A51">
              <w:rPr>
                <w:rFonts w:ascii="Arial" w:hAnsi="Arial" w:cs="Arial"/>
                <w:sz w:val="24"/>
                <w:szCs w:val="24"/>
              </w:rPr>
              <w:t xml:space="preserve"> = 8,328)</w:t>
            </w:r>
          </w:p>
        </w:tc>
        <w:tc>
          <w:tcPr>
            <w:tcW w:w="1579" w:type="pct"/>
          </w:tcPr>
          <w:p w14:paraId="2A1CEAE3" w14:textId="77777777" w:rsidR="00910063"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general cognitive screening (development)</w:t>
            </w:r>
          </w:p>
        </w:tc>
        <w:tc>
          <w:tcPr>
            <w:tcW w:w="772" w:type="pct"/>
          </w:tcPr>
          <w:p w14:paraId="326BBEF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A89C70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NBACEtn</w:t>
            </w:r>
          </w:p>
        </w:tc>
      </w:tr>
      <w:tr w:rsidR="007034BF" w:rsidRPr="002B4A51" w14:paraId="5A7D1F8F" w14:textId="77777777" w:rsidTr="00BC6E90">
        <w:tc>
          <w:tcPr>
            <w:tcW w:w="621" w:type="pct"/>
          </w:tcPr>
          <w:p w14:paraId="0560A113"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Barlow-Krelina et al. (2021)</w:t>
            </w:r>
            <w:r w:rsidRPr="002B4A51">
              <w:rPr>
                <w:rFonts w:ascii="Arial" w:hAnsi="Arial" w:cs="Arial"/>
                <w:sz w:val="24"/>
                <w:szCs w:val="24"/>
                <w:vertAlign w:val="superscript"/>
              </w:rPr>
              <w:t>49</w:t>
            </w:r>
          </w:p>
        </w:tc>
        <w:tc>
          <w:tcPr>
            <w:tcW w:w="1438" w:type="pct"/>
          </w:tcPr>
          <w:p w14:paraId="6710185D" w14:textId="77777777" w:rsidR="007034BF" w:rsidRPr="002B4A51" w:rsidRDefault="007034BF"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(8-29) with or without pediatric-onset MS (</w:t>
            </w:r>
            <w:r w:rsidRPr="002B4A51">
              <w:rPr>
                <w:rFonts w:ascii="Arial" w:hAnsi="Arial" w:cs="Arial"/>
                <w:i/>
                <w:sz w:val="24"/>
                <w:szCs w:val="24"/>
                <w:lang w:val="en-US"/>
              </w:rPr>
              <w:t xml:space="preserve">n </w:t>
            </w:r>
            <w:r w:rsidRPr="002B4A51">
              <w:rPr>
                <w:rFonts w:ascii="Arial" w:hAnsi="Arial" w:cs="Arial"/>
                <w:sz w:val="24"/>
                <w:szCs w:val="24"/>
                <w:lang w:val="en-US"/>
              </w:rPr>
              <w:t>= 141)</w:t>
            </w:r>
          </w:p>
        </w:tc>
        <w:tc>
          <w:tcPr>
            <w:tcW w:w="1579" w:type="pct"/>
          </w:tcPr>
          <w:p w14:paraId="6F83860B" w14:textId="77777777" w:rsidR="007034BF"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cognition in depression </w:t>
            </w:r>
          </w:p>
        </w:tc>
        <w:tc>
          <w:tcPr>
            <w:tcW w:w="772" w:type="pct"/>
          </w:tcPr>
          <w:p w14:paraId="23BA412B"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B62DB20" w14:textId="77777777" w:rsidR="007034BF" w:rsidRPr="002B4A51" w:rsidRDefault="007034BF" w:rsidP="002B4A51">
            <w:pPr>
              <w:spacing w:after="0" w:line="360" w:lineRule="auto"/>
              <w:jc w:val="both"/>
              <w:rPr>
                <w:rFonts w:ascii="Arial" w:hAnsi="Arial" w:cs="Arial"/>
                <w:sz w:val="24"/>
                <w:szCs w:val="24"/>
              </w:rPr>
            </w:pPr>
            <w:r w:rsidRPr="002B4A51">
              <w:rPr>
                <w:rFonts w:ascii="Arial" w:hAnsi="Arial" w:cs="Arial"/>
                <w:sz w:val="24"/>
                <w:szCs w:val="24"/>
              </w:rPr>
              <w:t>PennCNB</w:t>
            </w:r>
          </w:p>
        </w:tc>
      </w:tr>
      <w:tr w:rsidR="00AB7808" w:rsidRPr="002B4A51" w14:paraId="2EE36CC6" w14:textId="77777777" w:rsidTr="00BC6E90">
        <w:tc>
          <w:tcPr>
            <w:tcW w:w="621" w:type="pct"/>
          </w:tcPr>
          <w:p w14:paraId="0D308EF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Bogert et al. (2021)</w:t>
            </w:r>
            <w:r w:rsidRPr="002B4A51">
              <w:rPr>
                <w:rFonts w:ascii="Arial" w:hAnsi="Arial" w:cs="Arial"/>
                <w:sz w:val="24"/>
                <w:szCs w:val="24"/>
                <w:vertAlign w:val="superscript"/>
              </w:rPr>
              <w:t>50</w:t>
            </w:r>
          </w:p>
        </w:tc>
        <w:tc>
          <w:tcPr>
            <w:tcW w:w="1438" w:type="pct"/>
          </w:tcPr>
          <w:p w14:paraId="1AEA31D1" w14:textId="77777777" w:rsidR="00910063" w:rsidRPr="002B4A51" w:rsidRDefault="007F1142"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USA </w:t>
            </w:r>
            <w:r w:rsidR="001451DE" w:rsidRPr="002B4A51">
              <w:rPr>
                <w:rFonts w:ascii="Arial" w:hAnsi="Arial" w:cs="Arial"/>
                <w:sz w:val="24"/>
                <w:szCs w:val="24"/>
                <w:lang w:val="en-US"/>
              </w:rPr>
              <w:t>adults (18-60 years) with depression (</w:t>
            </w:r>
            <w:r w:rsidR="001451DE" w:rsidRPr="002B4A51">
              <w:rPr>
                <w:rFonts w:ascii="Arial" w:hAnsi="Arial" w:cs="Arial"/>
                <w:i/>
                <w:sz w:val="24"/>
                <w:szCs w:val="24"/>
                <w:lang w:val="en-US"/>
              </w:rPr>
              <w:t xml:space="preserve">n </w:t>
            </w:r>
            <w:r w:rsidR="001451DE" w:rsidRPr="002B4A51">
              <w:rPr>
                <w:rFonts w:ascii="Arial" w:hAnsi="Arial" w:cs="Arial"/>
                <w:sz w:val="24"/>
                <w:szCs w:val="24"/>
                <w:lang w:val="en-US"/>
              </w:rPr>
              <w:t>= 244)</w:t>
            </w:r>
          </w:p>
        </w:tc>
        <w:tc>
          <w:tcPr>
            <w:tcW w:w="1579" w:type="pct"/>
          </w:tcPr>
          <w:p w14:paraId="2585D15B"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cognition in depression (validity based on external measures) </w:t>
            </w:r>
          </w:p>
        </w:tc>
        <w:tc>
          <w:tcPr>
            <w:tcW w:w="772" w:type="pct"/>
          </w:tcPr>
          <w:p w14:paraId="19BD4CE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E3C004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ReVeRe.D </w:t>
            </w:r>
          </w:p>
        </w:tc>
      </w:tr>
      <w:tr w:rsidR="00AB7808" w:rsidRPr="002B4A51" w14:paraId="460B0A50" w14:textId="77777777" w:rsidTr="00BC6E90">
        <w:tc>
          <w:tcPr>
            <w:tcW w:w="621" w:type="pct"/>
          </w:tcPr>
          <w:p w14:paraId="65D0BE9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Cui et al. (2021)</w:t>
            </w:r>
            <w:r w:rsidRPr="002B4A51">
              <w:rPr>
                <w:rFonts w:ascii="Arial" w:hAnsi="Arial" w:cs="Arial"/>
                <w:sz w:val="24"/>
                <w:szCs w:val="24"/>
                <w:vertAlign w:val="superscript"/>
              </w:rPr>
              <w:t>51</w:t>
            </w:r>
          </w:p>
        </w:tc>
        <w:tc>
          <w:tcPr>
            <w:tcW w:w="1438" w:type="pct"/>
          </w:tcPr>
          <w:p w14:paraId="142DB9AC"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(72.5 ± 1.2) with or without normal tension glaucoma (</w:t>
            </w:r>
            <w:r w:rsidRPr="002B4A51">
              <w:rPr>
                <w:rFonts w:ascii="Arial" w:hAnsi="Arial" w:cs="Arial"/>
                <w:i/>
                <w:sz w:val="24"/>
                <w:szCs w:val="24"/>
                <w:lang w:val="en-US"/>
              </w:rPr>
              <w:t>n</w:t>
            </w:r>
            <w:r w:rsidRPr="002B4A51">
              <w:rPr>
                <w:rFonts w:ascii="Arial" w:hAnsi="Arial" w:cs="Arial"/>
                <w:sz w:val="24"/>
                <w:szCs w:val="24"/>
                <w:lang w:val="en-US"/>
              </w:rPr>
              <w:t xml:space="preserve"> = 100)</w:t>
            </w:r>
          </w:p>
        </w:tc>
        <w:tc>
          <w:tcPr>
            <w:tcW w:w="1579" w:type="pct"/>
          </w:tcPr>
          <w:p w14:paraId="3938C224"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glaucoma </w:t>
            </w:r>
          </w:p>
        </w:tc>
        <w:tc>
          <w:tcPr>
            <w:tcW w:w="772" w:type="pct"/>
          </w:tcPr>
          <w:p w14:paraId="517CC3EE"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A756E0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NIH EXAMINER </w:t>
            </w:r>
          </w:p>
        </w:tc>
      </w:tr>
      <w:tr w:rsidR="00AB7808" w:rsidRPr="002B4A51" w14:paraId="258C4C93" w14:textId="77777777" w:rsidTr="00BC6E90">
        <w:tc>
          <w:tcPr>
            <w:tcW w:w="621" w:type="pct"/>
          </w:tcPr>
          <w:p w14:paraId="30977DF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MacAulay et al. (2021)</w:t>
            </w:r>
            <w:r w:rsidRPr="002B4A51">
              <w:rPr>
                <w:rFonts w:ascii="Arial" w:hAnsi="Arial" w:cs="Arial"/>
                <w:sz w:val="24"/>
                <w:szCs w:val="24"/>
                <w:vertAlign w:val="superscript"/>
              </w:rPr>
              <w:t>52</w:t>
            </w:r>
          </w:p>
        </w:tc>
        <w:tc>
          <w:tcPr>
            <w:tcW w:w="1438" w:type="pct"/>
          </w:tcPr>
          <w:p w14:paraId="3EC97ECC"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of different socioeconomic statuses (57-87) (</w:t>
            </w:r>
            <w:r w:rsidRPr="002B4A51">
              <w:rPr>
                <w:rFonts w:ascii="Arial" w:hAnsi="Arial" w:cs="Arial"/>
                <w:i/>
                <w:sz w:val="24"/>
                <w:szCs w:val="24"/>
                <w:lang w:val="en-US"/>
              </w:rPr>
              <w:t xml:space="preserve">n </w:t>
            </w:r>
            <w:r w:rsidRPr="002B4A51">
              <w:rPr>
                <w:rFonts w:ascii="Arial" w:hAnsi="Arial" w:cs="Arial"/>
                <w:sz w:val="24"/>
                <w:szCs w:val="24"/>
                <w:lang w:val="en-US"/>
              </w:rPr>
              <w:t>= 121)</w:t>
            </w:r>
          </w:p>
        </w:tc>
        <w:tc>
          <w:tcPr>
            <w:tcW w:w="1579" w:type="pct"/>
          </w:tcPr>
          <w:p w14:paraId="531225CF"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general cognitive screening battery applied to elderly individuals (validity based on internal structure) </w:t>
            </w:r>
          </w:p>
        </w:tc>
        <w:tc>
          <w:tcPr>
            <w:tcW w:w="772" w:type="pct"/>
          </w:tcPr>
          <w:p w14:paraId="7A415DE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8BC296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NIH Toolbox </w:t>
            </w:r>
          </w:p>
        </w:tc>
      </w:tr>
      <w:tr w:rsidR="00AB7808" w:rsidRPr="002B4A51" w14:paraId="0C575B78" w14:textId="77777777" w:rsidTr="00BC6E90">
        <w:tc>
          <w:tcPr>
            <w:tcW w:w="621" w:type="pct"/>
          </w:tcPr>
          <w:p w14:paraId="1262712E"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Scott et al. (2021)</w:t>
            </w:r>
            <w:r w:rsidRPr="002B4A51">
              <w:rPr>
                <w:rFonts w:ascii="Arial" w:hAnsi="Arial" w:cs="Arial"/>
                <w:sz w:val="24"/>
                <w:szCs w:val="24"/>
                <w:vertAlign w:val="superscript"/>
                <w:lang w:val="en-US"/>
              </w:rPr>
              <w:t>53</w:t>
            </w:r>
          </w:p>
        </w:tc>
        <w:tc>
          <w:tcPr>
            <w:tcW w:w="1438" w:type="pct"/>
          </w:tcPr>
          <w:p w14:paraId="659CBA04"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South African Xhosa individuals with schizophrenia or healthy individuals aged approximately 38 years (</w:t>
            </w:r>
            <w:r w:rsidRPr="002B4A51">
              <w:rPr>
                <w:rFonts w:ascii="Arial" w:hAnsi="Arial" w:cs="Arial"/>
                <w:i/>
                <w:sz w:val="24"/>
                <w:szCs w:val="24"/>
                <w:lang w:val="en-US"/>
              </w:rPr>
              <w:t>n</w:t>
            </w:r>
            <w:r w:rsidRPr="002B4A51">
              <w:rPr>
                <w:rFonts w:ascii="Arial" w:hAnsi="Arial" w:cs="Arial"/>
                <w:sz w:val="24"/>
                <w:szCs w:val="24"/>
                <w:lang w:val="en-US"/>
              </w:rPr>
              <w:t xml:space="preserve"> = 1,269)</w:t>
            </w:r>
          </w:p>
        </w:tc>
        <w:tc>
          <w:tcPr>
            <w:tcW w:w="1579" w:type="pct"/>
          </w:tcPr>
          <w:p w14:paraId="48991028"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cognition in the Xhosa population (validity based on external measures)</w:t>
            </w:r>
          </w:p>
        </w:tc>
        <w:tc>
          <w:tcPr>
            <w:tcW w:w="772" w:type="pct"/>
          </w:tcPr>
          <w:p w14:paraId="330DAD2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EB90DE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PennCNB</w:t>
            </w:r>
          </w:p>
        </w:tc>
      </w:tr>
      <w:tr w:rsidR="00AB7808" w:rsidRPr="002B4A51" w14:paraId="30F2433C" w14:textId="77777777" w:rsidTr="00BC6E90">
        <w:tc>
          <w:tcPr>
            <w:tcW w:w="621" w:type="pct"/>
          </w:tcPr>
          <w:p w14:paraId="0E5CCA70" w14:textId="77777777" w:rsidR="00910063" w:rsidRPr="002B4A51" w:rsidRDefault="00910063" w:rsidP="002B4A51">
            <w:pPr>
              <w:spacing w:after="0" w:line="360" w:lineRule="auto"/>
              <w:jc w:val="both"/>
              <w:rPr>
                <w:rFonts w:ascii="Arial" w:hAnsi="Arial" w:cs="Arial"/>
                <w:b/>
                <w:sz w:val="24"/>
                <w:szCs w:val="24"/>
              </w:rPr>
            </w:pPr>
            <w:r w:rsidRPr="002B4A51">
              <w:rPr>
                <w:rFonts w:ascii="Arial" w:hAnsi="Arial" w:cs="Arial"/>
                <w:sz w:val="24"/>
                <w:szCs w:val="24"/>
              </w:rPr>
              <w:t>Adolphe et al. (2022)</w:t>
            </w:r>
            <w:r w:rsidRPr="002B4A51">
              <w:rPr>
                <w:rFonts w:ascii="Arial" w:hAnsi="Arial" w:cs="Arial"/>
                <w:sz w:val="24"/>
                <w:szCs w:val="24"/>
                <w:vertAlign w:val="superscript"/>
              </w:rPr>
              <w:t>54</w:t>
            </w:r>
          </w:p>
        </w:tc>
        <w:tc>
          <w:tcPr>
            <w:tcW w:w="1438" w:type="pct"/>
          </w:tcPr>
          <w:p w14:paraId="18CED4E0"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French adults (21-71) (</w:t>
            </w:r>
            <w:r w:rsidRPr="002B4A51">
              <w:rPr>
                <w:rFonts w:ascii="Arial" w:hAnsi="Arial" w:cs="Arial"/>
                <w:i/>
                <w:sz w:val="24"/>
                <w:szCs w:val="24"/>
              </w:rPr>
              <w:t>n</w:t>
            </w:r>
            <w:r w:rsidRPr="002B4A51">
              <w:rPr>
                <w:rFonts w:ascii="Arial" w:hAnsi="Arial" w:cs="Arial"/>
                <w:sz w:val="24"/>
                <w:szCs w:val="24"/>
              </w:rPr>
              <w:t xml:space="preserve"> = 50)</w:t>
            </w:r>
          </w:p>
        </w:tc>
        <w:tc>
          <w:tcPr>
            <w:tcW w:w="1579" w:type="pct"/>
          </w:tcPr>
          <w:p w14:paraId="51C952F7"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cognitive screening in elderly individuals (development)</w:t>
            </w:r>
          </w:p>
        </w:tc>
        <w:tc>
          <w:tcPr>
            <w:tcW w:w="772" w:type="pct"/>
          </w:tcPr>
          <w:p w14:paraId="3380B36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B6F894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OSCTB </w:t>
            </w:r>
          </w:p>
        </w:tc>
      </w:tr>
      <w:tr w:rsidR="00AB7808" w:rsidRPr="002B4A51" w14:paraId="0F1BD81A" w14:textId="77777777" w:rsidTr="00BC6E90">
        <w:tc>
          <w:tcPr>
            <w:tcW w:w="621" w:type="pct"/>
          </w:tcPr>
          <w:p w14:paraId="590A119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Karlsen et al. (2022)</w:t>
            </w:r>
            <w:r w:rsidRPr="002B4A51">
              <w:rPr>
                <w:rFonts w:ascii="Arial" w:hAnsi="Arial" w:cs="Arial"/>
                <w:sz w:val="24"/>
                <w:szCs w:val="24"/>
                <w:vertAlign w:val="superscript"/>
              </w:rPr>
              <w:t>55</w:t>
            </w:r>
          </w:p>
        </w:tc>
        <w:tc>
          <w:tcPr>
            <w:tcW w:w="1438" w:type="pct"/>
          </w:tcPr>
          <w:p w14:paraId="7250A710"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Norwegian adults (32.21 ± 13.10) (</w:t>
            </w:r>
            <w:r w:rsidRPr="002B4A51">
              <w:rPr>
                <w:rFonts w:ascii="Arial" w:hAnsi="Arial" w:cs="Arial"/>
                <w:i/>
                <w:sz w:val="24"/>
                <w:szCs w:val="24"/>
              </w:rPr>
              <w:t>n</w:t>
            </w:r>
            <w:r w:rsidRPr="002B4A51">
              <w:rPr>
                <w:rFonts w:ascii="Arial" w:hAnsi="Arial" w:cs="Arial"/>
                <w:sz w:val="24"/>
                <w:szCs w:val="24"/>
              </w:rPr>
              <w:t xml:space="preserve"> = 75) </w:t>
            </w:r>
          </w:p>
        </w:tc>
        <w:tc>
          <w:tcPr>
            <w:tcW w:w="1579" w:type="pct"/>
          </w:tcPr>
          <w:p w14:paraId="1B260448"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general cognitive screening (validity based on external measures)</w:t>
            </w:r>
          </w:p>
        </w:tc>
        <w:tc>
          <w:tcPr>
            <w:tcW w:w="772" w:type="pct"/>
          </w:tcPr>
          <w:p w14:paraId="1C7EEE3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4C846B7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3462209C" w14:textId="77777777" w:rsidTr="00BC6E90">
        <w:tc>
          <w:tcPr>
            <w:tcW w:w="621" w:type="pct"/>
          </w:tcPr>
          <w:p w14:paraId="3A3E1A7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Kairys et al. (2022)</w:t>
            </w:r>
            <w:r w:rsidRPr="002B4A51">
              <w:rPr>
                <w:rFonts w:ascii="Arial" w:hAnsi="Arial" w:cs="Arial"/>
                <w:sz w:val="24"/>
                <w:szCs w:val="24"/>
                <w:vertAlign w:val="superscript"/>
              </w:rPr>
              <w:t>56</w:t>
            </w:r>
          </w:p>
        </w:tc>
        <w:tc>
          <w:tcPr>
            <w:tcW w:w="1438" w:type="pct"/>
          </w:tcPr>
          <w:p w14:paraId="7B890EFB"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Americans with MCI (56-90) (</w:t>
            </w:r>
            <w:r w:rsidRPr="002B4A51">
              <w:rPr>
                <w:rFonts w:ascii="Arial" w:hAnsi="Arial" w:cs="Arial"/>
                <w:i/>
                <w:sz w:val="24"/>
                <w:szCs w:val="24"/>
                <w:lang w:val="en-US"/>
              </w:rPr>
              <w:t>n</w:t>
            </w:r>
            <w:r w:rsidRPr="002B4A51">
              <w:rPr>
                <w:rFonts w:ascii="Arial" w:hAnsi="Arial" w:cs="Arial"/>
                <w:sz w:val="24"/>
                <w:szCs w:val="24"/>
                <w:lang w:val="en-US"/>
              </w:rPr>
              <w:t xml:space="preserve"> = 104) </w:t>
            </w:r>
          </w:p>
        </w:tc>
        <w:tc>
          <w:tcPr>
            <w:tcW w:w="1579" w:type="pct"/>
          </w:tcPr>
          <w:p w14:paraId="54109A49"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Cognition of elderly people in a black community</w:t>
            </w:r>
          </w:p>
        </w:tc>
        <w:tc>
          <w:tcPr>
            <w:tcW w:w="772" w:type="pct"/>
          </w:tcPr>
          <w:p w14:paraId="1BFBB9F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319EB3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NIH Toolbox e CogState </w:t>
            </w:r>
          </w:p>
        </w:tc>
      </w:tr>
      <w:tr w:rsidR="00AB7808" w:rsidRPr="002B4A51" w14:paraId="02AC00A1" w14:textId="77777777" w:rsidTr="00BC6E90">
        <w:tc>
          <w:tcPr>
            <w:tcW w:w="621" w:type="pct"/>
          </w:tcPr>
          <w:p w14:paraId="3389C2E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Leemans et al. (2022)</w:t>
            </w:r>
            <w:r w:rsidRPr="002B4A51">
              <w:rPr>
                <w:rFonts w:ascii="Arial" w:hAnsi="Arial" w:cs="Arial"/>
                <w:sz w:val="24"/>
                <w:szCs w:val="24"/>
                <w:vertAlign w:val="superscript"/>
              </w:rPr>
              <w:t>57</w:t>
            </w:r>
          </w:p>
        </w:tc>
        <w:tc>
          <w:tcPr>
            <w:tcW w:w="1438" w:type="pct"/>
          </w:tcPr>
          <w:p w14:paraId="47072E00"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brain metastasis (36-83) (</w:t>
            </w:r>
            <w:r w:rsidRPr="002B4A51">
              <w:rPr>
                <w:rFonts w:ascii="Arial" w:hAnsi="Arial" w:cs="Arial"/>
                <w:i/>
                <w:sz w:val="24"/>
                <w:szCs w:val="24"/>
                <w:lang w:val="en-US"/>
              </w:rPr>
              <w:t>n</w:t>
            </w:r>
            <w:r w:rsidRPr="002B4A51">
              <w:rPr>
                <w:rFonts w:ascii="Arial" w:hAnsi="Arial" w:cs="Arial"/>
                <w:sz w:val="24"/>
                <w:szCs w:val="24"/>
                <w:lang w:val="en-US"/>
              </w:rPr>
              <w:t xml:space="preserve"> = 30) </w:t>
            </w:r>
          </w:p>
        </w:tc>
        <w:tc>
          <w:tcPr>
            <w:tcW w:w="1579" w:type="pct"/>
          </w:tcPr>
          <w:p w14:paraId="797C892B"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Cognition under brain metastases</w:t>
            </w:r>
          </w:p>
        </w:tc>
        <w:tc>
          <w:tcPr>
            <w:tcW w:w="772" w:type="pct"/>
          </w:tcPr>
          <w:p w14:paraId="39A7284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5CC1677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Brainlab AG </w:t>
            </w:r>
          </w:p>
        </w:tc>
      </w:tr>
      <w:tr w:rsidR="00AB7808" w:rsidRPr="002B4A51" w14:paraId="2F7119CE" w14:textId="77777777" w:rsidTr="00BC6E90">
        <w:tc>
          <w:tcPr>
            <w:tcW w:w="621" w:type="pct"/>
          </w:tcPr>
          <w:p w14:paraId="1BA0C84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Li et al. (2024)</w:t>
            </w:r>
            <w:r w:rsidRPr="002B4A51">
              <w:rPr>
                <w:rFonts w:ascii="Arial" w:hAnsi="Arial" w:cs="Arial"/>
                <w:sz w:val="24"/>
                <w:szCs w:val="24"/>
                <w:vertAlign w:val="superscript"/>
              </w:rPr>
              <w:t>58</w:t>
            </w:r>
            <w:r w:rsidRPr="002B4A51">
              <w:rPr>
                <w:rFonts w:ascii="Arial" w:hAnsi="Arial" w:cs="Arial"/>
                <w:sz w:val="24"/>
                <w:szCs w:val="24"/>
              </w:rPr>
              <w:t xml:space="preserve"> </w:t>
            </w:r>
          </w:p>
        </w:tc>
        <w:tc>
          <w:tcPr>
            <w:tcW w:w="1438" w:type="pct"/>
          </w:tcPr>
          <w:p w14:paraId="02301095"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Four groups of Taiwanese elderly (60+) with </w:t>
            </w:r>
            <w:r w:rsidR="007F1142" w:rsidRPr="002B4A51">
              <w:rPr>
                <w:rFonts w:ascii="Arial" w:hAnsi="Arial" w:cs="Arial"/>
                <w:sz w:val="24"/>
                <w:szCs w:val="24"/>
                <w:lang w:val="en-US"/>
              </w:rPr>
              <w:t>PD</w:t>
            </w:r>
            <w:r w:rsidRPr="002B4A51">
              <w:rPr>
                <w:rFonts w:ascii="Arial" w:hAnsi="Arial" w:cs="Arial"/>
                <w:sz w:val="24"/>
                <w:szCs w:val="24"/>
                <w:lang w:val="en-US"/>
              </w:rPr>
              <w:t xml:space="preserve"> without cognitive deficits, with </w:t>
            </w:r>
            <w:r w:rsidR="007F1142" w:rsidRPr="002B4A51">
              <w:rPr>
                <w:rFonts w:ascii="Arial" w:hAnsi="Arial" w:cs="Arial"/>
                <w:sz w:val="24"/>
                <w:szCs w:val="24"/>
                <w:lang w:val="en-US"/>
              </w:rPr>
              <w:t>PD</w:t>
            </w:r>
            <w:r w:rsidRPr="002B4A51">
              <w:rPr>
                <w:rFonts w:ascii="Arial" w:hAnsi="Arial" w:cs="Arial"/>
                <w:sz w:val="24"/>
                <w:szCs w:val="24"/>
                <w:lang w:val="en-US"/>
              </w:rPr>
              <w:t xml:space="preserve"> and CLL, with dementia, or healthy (</w:t>
            </w:r>
            <w:r w:rsidRPr="002B4A51">
              <w:rPr>
                <w:rFonts w:ascii="Arial" w:hAnsi="Arial" w:cs="Arial"/>
                <w:i/>
                <w:sz w:val="24"/>
                <w:szCs w:val="24"/>
                <w:lang w:val="en-US"/>
              </w:rPr>
              <w:t>n</w:t>
            </w:r>
            <w:r w:rsidRPr="002B4A51">
              <w:rPr>
                <w:rFonts w:ascii="Arial" w:hAnsi="Arial" w:cs="Arial"/>
                <w:sz w:val="24"/>
                <w:szCs w:val="24"/>
                <w:lang w:val="en-US"/>
              </w:rPr>
              <w:t xml:space="preserve"> = 107) </w:t>
            </w:r>
          </w:p>
        </w:tc>
        <w:tc>
          <w:tcPr>
            <w:tcW w:w="1579" w:type="pct"/>
          </w:tcPr>
          <w:p w14:paraId="08F8E4DF"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Association of neuroimaging and plasma biomarkers with cognitive domain declines in patients with </w:t>
            </w:r>
            <w:r w:rsidR="007F1142" w:rsidRPr="002B4A51">
              <w:rPr>
                <w:rFonts w:ascii="Arial" w:hAnsi="Arial" w:cs="Arial"/>
                <w:sz w:val="24"/>
                <w:szCs w:val="24"/>
                <w:lang w:val="en-US"/>
              </w:rPr>
              <w:t>PD</w:t>
            </w:r>
          </w:p>
        </w:tc>
        <w:tc>
          <w:tcPr>
            <w:tcW w:w="772" w:type="pct"/>
          </w:tcPr>
          <w:p w14:paraId="4F70F01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AB7923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31C7A54D" w14:textId="77777777" w:rsidTr="00BC6E90">
        <w:tc>
          <w:tcPr>
            <w:tcW w:w="621" w:type="pct"/>
          </w:tcPr>
          <w:p w14:paraId="20F7B4C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Moore et al. (2022)</w:t>
            </w:r>
            <w:r w:rsidRPr="002B4A51">
              <w:rPr>
                <w:rFonts w:ascii="Arial" w:hAnsi="Arial" w:cs="Arial"/>
                <w:sz w:val="24"/>
                <w:szCs w:val="24"/>
                <w:vertAlign w:val="superscript"/>
              </w:rPr>
              <w:t>59</w:t>
            </w:r>
          </w:p>
        </w:tc>
        <w:tc>
          <w:tcPr>
            <w:tcW w:w="1438" w:type="pct"/>
          </w:tcPr>
          <w:p w14:paraId="59DFE274"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or without bipolar disorder (18-65) (</w:t>
            </w:r>
            <w:r w:rsidRPr="002B4A51">
              <w:rPr>
                <w:rFonts w:ascii="Arial" w:hAnsi="Arial" w:cs="Arial"/>
                <w:i/>
                <w:sz w:val="24"/>
                <w:szCs w:val="24"/>
                <w:lang w:val="en-US"/>
              </w:rPr>
              <w:t>n</w:t>
            </w:r>
            <w:r w:rsidRPr="002B4A51">
              <w:rPr>
                <w:rFonts w:ascii="Arial" w:hAnsi="Arial" w:cs="Arial"/>
                <w:sz w:val="24"/>
                <w:szCs w:val="24"/>
                <w:lang w:val="en-US"/>
              </w:rPr>
              <w:t xml:space="preserve"> = 66) </w:t>
            </w:r>
          </w:p>
        </w:tc>
        <w:tc>
          <w:tcPr>
            <w:tcW w:w="1579" w:type="pct"/>
          </w:tcPr>
          <w:p w14:paraId="7CFF6F01"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people with bipolar disorder (validity based on external measures) </w:t>
            </w:r>
          </w:p>
        </w:tc>
        <w:tc>
          <w:tcPr>
            <w:tcW w:w="772" w:type="pct"/>
          </w:tcPr>
          <w:p w14:paraId="6E5264A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9EC856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NeuroUX</w:t>
            </w:r>
          </w:p>
        </w:tc>
      </w:tr>
      <w:tr w:rsidR="00AB7808" w:rsidRPr="002B4A51" w14:paraId="26BADF2E" w14:textId="77777777" w:rsidTr="00BC6E90">
        <w:tc>
          <w:tcPr>
            <w:tcW w:w="621" w:type="pct"/>
          </w:tcPr>
          <w:p w14:paraId="531D5ABB" w14:textId="77777777" w:rsidR="00910063" w:rsidRPr="002B4A51" w:rsidRDefault="00910063" w:rsidP="002B4A51">
            <w:pPr>
              <w:tabs>
                <w:tab w:val="left" w:pos="1590"/>
              </w:tabs>
              <w:spacing w:after="0" w:line="360" w:lineRule="auto"/>
              <w:jc w:val="both"/>
              <w:rPr>
                <w:rFonts w:ascii="Arial" w:hAnsi="Arial" w:cs="Arial"/>
                <w:sz w:val="24"/>
                <w:szCs w:val="24"/>
              </w:rPr>
            </w:pPr>
            <w:r w:rsidRPr="002B4A51">
              <w:rPr>
                <w:rFonts w:ascii="Arial" w:hAnsi="Arial" w:cs="Arial"/>
                <w:sz w:val="24"/>
                <w:szCs w:val="24"/>
                <w:lang w:val="en-US"/>
              </w:rPr>
              <w:t>Robbins et al. (2022)</w:t>
            </w:r>
            <w:r w:rsidRPr="002B4A51">
              <w:rPr>
                <w:rFonts w:ascii="Arial" w:hAnsi="Arial" w:cs="Arial"/>
                <w:sz w:val="24"/>
                <w:szCs w:val="24"/>
                <w:vertAlign w:val="superscript"/>
                <w:lang w:val="en-US"/>
              </w:rPr>
              <w:t>60</w:t>
            </w:r>
          </w:p>
        </w:tc>
        <w:tc>
          <w:tcPr>
            <w:tcW w:w="1438" w:type="pct"/>
          </w:tcPr>
          <w:p w14:paraId="282E9705"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Thai individuals (10-23) with HIV (</w:t>
            </w:r>
            <w:r w:rsidRPr="002B4A51">
              <w:rPr>
                <w:rFonts w:ascii="Arial" w:hAnsi="Arial" w:cs="Arial"/>
                <w:i/>
                <w:sz w:val="24"/>
                <w:szCs w:val="24"/>
                <w:lang w:val="en-US"/>
              </w:rPr>
              <w:t>n</w:t>
            </w:r>
            <w:r w:rsidRPr="002B4A51">
              <w:rPr>
                <w:rFonts w:ascii="Arial" w:hAnsi="Arial" w:cs="Arial"/>
                <w:sz w:val="24"/>
                <w:szCs w:val="24"/>
                <w:lang w:val="en-US"/>
              </w:rPr>
              <w:t xml:space="preserve"> = 100) </w:t>
            </w:r>
          </w:p>
        </w:tc>
        <w:tc>
          <w:tcPr>
            <w:tcW w:w="1579" w:type="pct"/>
          </w:tcPr>
          <w:p w14:paraId="1E64618D"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cognition in people with HIV (validity based on internal structure)</w:t>
            </w:r>
          </w:p>
        </w:tc>
        <w:tc>
          <w:tcPr>
            <w:tcW w:w="772" w:type="pct"/>
          </w:tcPr>
          <w:p w14:paraId="0BFF23A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5608B2A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NeuroScreen </w:t>
            </w:r>
          </w:p>
        </w:tc>
      </w:tr>
      <w:tr w:rsidR="00AB7808" w:rsidRPr="002B4A51" w14:paraId="5BB65D7A" w14:textId="77777777" w:rsidTr="00BC6E90">
        <w:tc>
          <w:tcPr>
            <w:tcW w:w="621" w:type="pct"/>
          </w:tcPr>
          <w:p w14:paraId="6A109CC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lang w:val="en-US"/>
              </w:rPr>
              <w:t xml:space="preserve">van der Hurk et al. </w:t>
            </w:r>
            <w:r w:rsidRPr="002B4A51">
              <w:rPr>
                <w:rFonts w:ascii="Arial" w:hAnsi="Arial" w:cs="Arial"/>
                <w:sz w:val="24"/>
                <w:szCs w:val="24"/>
              </w:rPr>
              <w:t>(2022)</w:t>
            </w:r>
            <w:r w:rsidRPr="002B4A51">
              <w:rPr>
                <w:rFonts w:ascii="Arial" w:hAnsi="Arial" w:cs="Arial"/>
                <w:sz w:val="24"/>
                <w:szCs w:val="24"/>
                <w:vertAlign w:val="superscript"/>
              </w:rPr>
              <w:t>61</w:t>
            </w:r>
          </w:p>
        </w:tc>
        <w:tc>
          <w:tcPr>
            <w:tcW w:w="1438" w:type="pct"/>
          </w:tcPr>
          <w:p w14:paraId="1A5AAF65"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Swedish adults (17-93) (</w:t>
            </w:r>
            <w:r w:rsidRPr="002B4A51">
              <w:rPr>
                <w:rFonts w:ascii="Arial" w:hAnsi="Arial" w:cs="Arial"/>
                <w:i/>
                <w:sz w:val="24"/>
                <w:szCs w:val="24"/>
              </w:rPr>
              <w:t xml:space="preserve">n </w:t>
            </w:r>
            <w:r w:rsidRPr="002B4A51">
              <w:rPr>
                <w:rFonts w:ascii="Arial" w:hAnsi="Arial" w:cs="Arial"/>
                <w:sz w:val="24"/>
                <w:szCs w:val="24"/>
              </w:rPr>
              <w:t xml:space="preserve">= 720) </w:t>
            </w:r>
          </w:p>
        </w:tc>
        <w:tc>
          <w:tcPr>
            <w:tcW w:w="1579" w:type="pct"/>
          </w:tcPr>
          <w:p w14:paraId="24078544"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general cognitive screening (norms) </w:t>
            </w:r>
          </w:p>
        </w:tc>
        <w:tc>
          <w:tcPr>
            <w:tcW w:w="772" w:type="pct"/>
          </w:tcPr>
          <w:p w14:paraId="4F9057C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F84FBA2"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Mindmore – Remote Version </w:t>
            </w:r>
          </w:p>
        </w:tc>
      </w:tr>
      <w:tr w:rsidR="00AB7808" w:rsidRPr="002B4A51" w14:paraId="7A3EA042" w14:textId="77777777" w:rsidTr="00BC6E90">
        <w:tc>
          <w:tcPr>
            <w:tcW w:w="621" w:type="pct"/>
          </w:tcPr>
          <w:p w14:paraId="7E2CF34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Glenn et al. (2023)</w:t>
            </w:r>
            <w:r w:rsidRPr="002B4A51">
              <w:rPr>
                <w:rFonts w:ascii="Arial" w:hAnsi="Arial" w:cs="Arial"/>
                <w:sz w:val="24"/>
                <w:szCs w:val="24"/>
                <w:vertAlign w:val="superscript"/>
              </w:rPr>
              <w:t>62</w:t>
            </w:r>
          </w:p>
        </w:tc>
        <w:tc>
          <w:tcPr>
            <w:tcW w:w="1438" w:type="pct"/>
          </w:tcPr>
          <w:p w14:paraId="1D7CC79A"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Japanese elderly with (77.5 ± 6.6) or without (72.7 ± 7.5) AD (</w:t>
            </w:r>
            <w:r w:rsidRPr="002B4A51">
              <w:rPr>
                <w:rFonts w:ascii="Arial" w:hAnsi="Arial" w:cs="Arial"/>
                <w:i/>
                <w:sz w:val="24"/>
                <w:szCs w:val="24"/>
                <w:lang w:val="en-US"/>
              </w:rPr>
              <w:t>n</w:t>
            </w:r>
            <w:r w:rsidRPr="002B4A51">
              <w:rPr>
                <w:rFonts w:ascii="Arial" w:hAnsi="Arial" w:cs="Arial"/>
                <w:sz w:val="24"/>
                <w:szCs w:val="24"/>
                <w:lang w:val="en-US"/>
              </w:rPr>
              <w:t xml:space="preserve"> = 75) </w:t>
            </w:r>
          </w:p>
        </w:tc>
        <w:tc>
          <w:tcPr>
            <w:tcW w:w="1579" w:type="pct"/>
          </w:tcPr>
          <w:p w14:paraId="57022168"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elderly individuals with AD (validity based on external measures) </w:t>
            </w:r>
          </w:p>
        </w:tc>
        <w:tc>
          <w:tcPr>
            <w:tcW w:w="772" w:type="pct"/>
          </w:tcPr>
          <w:p w14:paraId="07C8710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FA579CE"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Neurotrack </w:t>
            </w:r>
          </w:p>
        </w:tc>
      </w:tr>
      <w:tr w:rsidR="00AB7808" w:rsidRPr="002B4A51" w14:paraId="739ADDA4" w14:textId="77777777" w:rsidTr="00BC6E90">
        <w:tc>
          <w:tcPr>
            <w:tcW w:w="621" w:type="pct"/>
          </w:tcPr>
          <w:p w14:paraId="4F970EA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Gu et al. (2023)</w:t>
            </w:r>
            <w:r w:rsidRPr="002B4A51">
              <w:rPr>
                <w:rFonts w:ascii="Arial" w:hAnsi="Arial" w:cs="Arial"/>
                <w:sz w:val="24"/>
                <w:szCs w:val="24"/>
                <w:vertAlign w:val="superscript"/>
              </w:rPr>
              <w:t>63</w:t>
            </w:r>
          </w:p>
        </w:tc>
        <w:tc>
          <w:tcPr>
            <w:tcW w:w="1438" w:type="pct"/>
          </w:tcPr>
          <w:p w14:paraId="711A9859"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Three groups of Chinese elderly (60+) with dementia, MCI or healthy (</w:t>
            </w:r>
            <w:r w:rsidRPr="002B4A51">
              <w:rPr>
                <w:rFonts w:ascii="Arial" w:hAnsi="Arial" w:cs="Arial"/>
                <w:i/>
                <w:sz w:val="24"/>
                <w:szCs w:val="24"/>
                <w:lang w:val="en-US"/>
              </w:rPr>
              <w:t xml:space="preserve">n </w:t>
            </w:r>
            <w:r w:rsidRPr="002B4A51">
              <w:rPr>
                <w:rFonts w:ascii="Arial" w:hAnsi="Arial" w:cs="Arial"/>
                <w:sz w:val="24"/>
                <w:szCs w:val="24"/>
                <w:lang w:val="en-US"/>
              </w:rPr>
              <w:t>= 871)</w:t>
            </w:r>
          </w:p>
        </w:tc>
        <w:tc>
          <w:tcPr>
            <w:tcW w:w="1579" w:type="pct"/>
          </w:tcPr>
          <w:p w14:paraId="2453938E"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dementia </w:t>
            </w:r>
          </w:p>
        </w:tc>
        <w:tc>
          <w:tcPr>
            <w:tcW w:w="772" w:type="pct"/>
          </w:tcPr>
          <w:p w14:paraId="355086E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D5511D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CNCB </w:t>
            </w:r>
          </w:p>
        </w:tc>
      </w:tr>
      <w:tr w:rsidR="00AB7808" w:rsidRPr="002B4A51" w14:paraId="7176AF4B" w14:textId="77777777" w:rsidTr="00BC6E90">
        <w:tc>
          <w:tcPr>
            <w:tcW w:w="621" w:type="pct"/>
          </w:tcPr>
          <w:p w14:paraId="1735C9C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Ketvel et al. (2023)</w:t>
            </w:r>
            <w:r w:rsidRPr="002B4A51">
              <w:rPr>
                <w:rFonts w:ascii="Arial" w:hAnsi="Arial" w:cs="Arial"/>
                <w:sz w:val="24"/>
                <w:szCs w:val="24"/>
                <w:vertAlign w:val="superscript"/>
              </w:rPr>
              <w:t>64</w:t>
            </w:r>
          </w:p>
        </w:tc>
        <w:tc>
          <w:tcPr>
            <w:tcW w:w="1438" w:type="pct"/>
          </w:tcPr>
          <w:p w14:paraId="05899741"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Finnish adults (34-49) (</w:t>
            </w:r>
            <w:r w:rsidRPr="002B4A51">
              <w:rPr>
                <w:rFonts w:ascii="Arial" w:hAnsi="Arial" w:cs="Arial"/>
                <w:i/>
                <w:sz w:val="24"/>
                <w:szCs w:val="24"/>
              </w:rPr>
              <w:t>n</w:t>
            </w:r>
            <w:r w:rsidRPr="002B4A51">
              <w:rPr>
                <w:rFonts w:ascii="Arial" w:hAnsi="Arial" w:cs="Arial"/>
                <w:sz w:val="24"/>
                <w:szCs w:val="24"/>
              </w:rPr>
              <w:t xml:space="preserve"> = 1,273) </w:t>
            </w:r>
          </w:p>
        </w:tc>
        <w:tc>
          <w:tcPr>
            <w:tcW w:w="1579" w:type="pct"/>
          </w:tcPr>
          <w:p w14:paraId="0A7C5D8D"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fatigue </w:t>
            </w:r>
          </w:p>
        </w:tc>
        <w:tc>
          <w:tcPr>
            <w:tcW w:w="772" w:type="pct"/>
          </w:tcPr>
          <w:p w14:paraId="601DA1E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BD8A67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049AA929" w14:textId="77777777" w:rsidTr="00BC6E90">
        <w:tc>
          <w:tcPr>
            <w:tcW w:w="621" w:type="pct"/>
          </w:tcPr>
          <w:p w14:paraId="712FB38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Revert-Alcántara et al. (2023)</w:t>
            </w:r>
            <w:r w:rsidRPr="002B4A51">
              <w:rPr>
                <w:rFonts w:ascii="Arial" w:hAnsi="Arial" w:cs="Arial"/>
                <w:sz w:val="24"/>
                <w:szCs w:val="24"/>
                <w:vertAlign w:val="superscript"/>
              </w:rPr>
              <w:t>65</w:t>
            </w:r>
          </w:p>
        </w:tc>
        <w:tc>
          <w:tcPr>
            <w:tcW w:w="1438" w:type="pct"/>
          </w:tcPr>
          <w:p w14:paraId="4E070F72"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Spanish adults (18-83) (</w:t>
            </w:r>
            <w:r w:rsidRPr="002B4A51">
              <w:rPr>
                <w:rFonts w:ascii="Arial" w:hAnsi="Arial" w:cs="Arial"/>
                <w:i/>
                <w:sz w:val="24"/>
                <w:szCs w:val="24"/>
              </w:rPr>
              <w:t>n</w:t>
            </w:r>
            <w:r w:rsidRPr="002B4A51">
              <w:rPr>
                <w:rFonts w:ascii="Arial" w:hAnsi="Arial" w:cs="Arial"/>
                <w:sz w:val="24"/>
                <w:szCs w:val="24"/>
              </w:rPr>
              <w:t xml:space="preserve"> = 232) </w:t>
            </w:r>
          </w:p>
        </w:tc>
        <w:tc>
          <w:tcPr>
            <w:tcW w:w="1579" w:type="pct"/>
          </w:tcPr>
          <w:p w14:paraId="7FE85450"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general cognitive screening (validity based on external measures) </w:t>
            </w:r>
          </w:p>
        </w:tc>
        <w:tc>
          <w:tcPr>
            <w:tcW w:w="772" w:type="pct"/>
          </w:tcPr>
          <w:p w14:paraId="0EF7815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4829BF3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Cognito </w:t>
            </w:r>
          </w:p>
        </w:tc>
      </w:tr>
      <w:tr w:rsidR="00AB7808" w:rsidRPr="002B4A51" w14:paraId="71C555FC" w14:textId="77777777" w:rsidTr="00BC6E90">
        <w:tc>
          <w:tcPr>
            <w:tcW w:w="621" w:type="pct"/>
          </w:tcPr>
          <w:p w14:paraId="3C583222"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Root et al. (2023)</w:t>
            </w:r>
            <w:r w:rsidRPr="002B4A51">
              <w:rPr>
                <w:rFonts w:ascii="Arial" w:hAnsi="Arial" w:cs="Arial"/>
                <w:sz w:val="24"/>
                <w:szCs w:val="24"/>
                <w:vertAlign w:val="superscript"/>
                <w:lang w:val="en-US"/>
              </w:rPr>
              <w:t>66</w:t>
            </w:r>
          </w:p>
        </w:tc>
        <w:tc>
          <w:tcPr>
            <w:tcW w:w="1438" w:type="pct"/>
          </w:tcPr>
          <w:p w14:paraId="1E880A96"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1451DE" w:rsidRPr="002B4A51">
              <w:rPr>
                <w:rFonts w:ascii="Arial" w:hAnsi="Arial" w:cs="Arial"/>
                <w:sz w:val="24"/>
                <w:szCs w:val="24"/>
              </w:rPr>
              <w:t>adult (39-65) cancer survivors (n = 357)</w:t>
            </w:r>
          </w:p>
        </w:tc>
        <w:tc>
          <w:tcPr>
            <w:tcW w:w="1579" w:type="pct"/>
          </w:tcPr>
          <w:p w14:paraId="640AD3DD"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cognitive screening battery for cancer survivors (validity based on external measures) </w:t>
            </w:r>
          </w:p>
        </w:tc>
        <w:tc>
          <w:tcPr>
            <w:tcW w:w="772" w:type="pct"/>
          </w:tcPr>
          <w:p w14:paraId="0E6EA80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463170E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Cogsuite</w:t>
            </w:r>
          </w:p>
        </w:tc>
      </w:tr>
      <w:tr w:rsidR="00AB7808" w:rsidRPr="002B4A51" w14:paraId="405C54A4" w14:textId="77777777" w:rsidTr="00BC6E90">
        <w:tc>
          <w:tcPr>
            <w:tcW w:w="621" w:type="pct"/>
          </w:tcPr>
          <w:p w14:paraId="3A809F5B"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Sawada et al. (2023)</w:t>
            </w:r>
            <w:r w:rsidRPr="002B4A51">
              <w:rPr>
                <w:rFonts w:ascii="Arial" w:hAnsi="Arial" w:cs="Arial"/>
                <w:sz w:val="24"/>
                <w:szCs w:val="24"/>
                <w:vertAlign w:val="superscript"/>
                <w:lang w:val="en-US"/>
              </w:rPr>
              <w:t>67</w:t>
            </w:r>
          </w:p>
        </w:tc>
        <w:tc>
          <w:tcPr>
            <w:tcW w:w="1438" w:type="pct"/>
          </w:tcPr>
          <w:p w14:paraId="736E34CE"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Japanese elderly (57-97) (</w:t>
            </w:r>
            <w:r w:rsidRPr="002B4A51">
              <w:rPr>
                <w:rFonts w:ascii="Arial" w:hAnsi="Arial" w:cs="Arial"/>
                <w:i/>
                <w:sz w:val="24"/>
                <w:szCs w:val="24"/>
              </w:rPr>
              <w:t>n</w:t>
            </w:r>
            <w:r w:rsidRPr="002B4A51">
              <w:rPr>
                <w:rFonts w:ascii="Arial" w:hAnsi="Arial" w:cs="Arial"/>
                <w:sz w:val="24"/>
                <w:szCs w:val="24"/>
              </w:rPr>
              <w:t xml:space="preserve"> = 123) </w:t>
            </w:r>
          </w:p>
        </w:tc>
        <w:tc>
          <w:tcPr>
            <w:tcW w:w="1579" w:type="pct"/>
          </w:tcPr>
          <w:p w14:paraId="65ECBF5D"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elderly individuals (validity based on external measures) </w:t>
            </w:r>
          </w:p>
        </w:tc>
        <w:tc>
          <w:tcPr>
            <w:tcW w:w="772" w:type="pct"/>
          </w:tcPr>
          <w:p w14:paraId="46764EC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43B98CD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CogEvo</w:t>
            </w:r>
          </w:p>
        </w:tc>
      </w:tr>
      <w:tr w:rsidR="00AB7808" w:rsidRPr="002B4A51" w14:paraId="3D1D28DC" w14:textId="77777777" w:rsidTr="00BC6E90">
        <w:tc>
          <w:tcPr>
            <w:tcW w:w="621" w:type="pct"/>
          </w:tcPr>
          <w:p w14:paraId="3127F730"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Seok et al. (2024)</w:t>
            </w:r>
            <w:r w:rsidRPr="002B4A51">
              <w:rPr>
                <w:rFonts w:ascii="Arial" w:hAnsi="Arial" w:cs="Arial"/>
                <w:sz w:val="24"/>
                <w:szCs w:val="24"/>
                <w:vertAlign w:val="superscript"/>
                <w:lang w:val="en-US"/>
              </w:rPr>
              <w:t>68</w:t>
            </w:r>
          </w:p>
        </w:tc>
        <w:tc>
          <w:tcPr>
            <w:tcW w:w="1438" w:type="pct"/>
          </w:tcPr>
          <w:p w14:paraId="6542BD95"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South Korean elderly with (77.9 ± 6.4) or without (74.1 ± 4.3) dementia (</w:t>
            </w:r>
            <w:r w:rsidRPr="002B4A51">
              <w:rPr>
                <w:rFonts w:ascii="Arial" w:hAnsi="Arial" w:cs="Arial"/>
                <w:i/>
                <w:sz w:val="24"/>
                <w:szCs w:val="24"/>
                <w:lang w:val="en-US"/>
              </w:rPr>
              <w:t>n</w:t>
            </w:r>
            <w:r w:rsidRPr="002B4A51">
              <w:rPr>
                <w:rFonts w:ascii="Arial" w:hAnsi="Arial" w:cs="Arial"/>
                <w:sz w:val="24"/>
                <w:szCs w:val="24"/>
                <w:lang w:val="en-US"/>
              </w:rPr>
              <w:t xml:space="preserve"> = 185) </w:t>
            </w:r>
          </w:p>
        </w:tc>
        <w:tc>
          <w:tcPr>
            <w:tcW w:w="1579" w:type="pct"/>
          </w:tcPr>
          <w:p w14:paraId="4C6FF277"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dementia (validity based on external measures) </w:t>
            </w:r>
          </w:p>
        </w:tc>
        <w:tc>
          <w:tcPr>
            <w:tcW w:w="772" w:type="pct"/>
          </w:tcPr>
          <w:p w14:paraId="7DB5AA4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D533B7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Hellocog </w:t>
            </w:r>
          </w:p>
        </w:tc>
      </w:tr>
      <w:tr w:rsidR="00AB7808" w:rsidRPr="002B4A51" w14:paraId="7F1FAE64" w14:textId="77777777" w:rsidTr="00BC6E90">
        <w:tc>
          <w:tcPr>
            <w:tcW w:w="621" w:type="pct"/>
          </w:tcPr>
          <w:p w14:paraId="22B55797"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Taylor et al. (2023)</w:t>
            </w:r>
            <w:r w:rsidRPr="002B4A51">
              <w:rPr>
                <w:rFonts w:ascii="Arial" w:hAnsi="Arial" w:cs="Arial"/>
                <w:sz w:val="24"/>
                <w:szCs w:val="24"/>
                <w:vertAlign w:val="superscript"/>
                <w:lang w:val="en-US"/>
              </w:rPr>
              <w:t>69</w:t>
            </w:r>
          </w:p>
        </w:tc>
        <w:tc>
          <w:tcPr>
            <w:tcW w:w="1438" w:type="pct"/>
          </w:tcPr>
          <w:p w14:paraId="21EE0344"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1451DE" w:rsidRPr="002B4A51">
              <w:rPr>
                <w:rFonts w:ascii="Arial" w:hAnsi="Arial" w:cs="Arial"/>
                <w:sz w:val="24"/>
                <w:szCs w:val="24"/>
              </w:rPr>
              <w:t>adults with neurocognitive disorders (20–84) (</w:t>
            </w:r>
            <w:r w:rsidR="001451DE" w:rsidRPr="002B4A51">
              <w:rPr>
                <w:rFonts w:ascii="Arial" w:hAnsi="Arial" w:cs="Arial"/>
                <w:i/>
                <w:sz w:val="24"/>
                <w:szCs w:val="24"/>
              </w:rPr>
              <w:t>n</w:t>
            </w:r>
            <w:r w:rsidR="001451DE" w:rsidRPr="002B4A51">
              <w:rPr>
                <w:rFonts w:ascii="Arial" w:hAnsi="Arial" w:cs="Arial"/>
                <w:sz w:val="24"/>
                <w:szCs w:val="24"/>
              </w:rPr>
              <w:t xml:space="preserve"> = 214) </w:t>
            </w:r>
          </w:p>
        </w:tc>
        <w:tc>
          <w:tcPr>
            <w:tcW w:w="1579" w:type="pct"/>
          </w:tcPr>
          <w:p w14:paraId="42FFFF26"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cognition in people with dementia (validity based on external measures) </w:t>
            </w:r>
          </w:p>
        </w:tc>
        <w:tc>
          <w:tcPr>
            <w:tcW w:w="772" w:type="pct"/>
          </w:tcPr>
          <w:p w14:paraId="71EC3E8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F27A63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ALLFTD-mAPP </w:t>
            </w:r>
          </w:p>
        </w:tc>
      </w:tr>
      <w:tr w:rsidR="00AB7808" w:rsidRPr="002B4A51" w14:paraId="40F21E95" w14:textId="77777777" w:rsidTr="00BC6E90">
        <w:tc>
          <w:tcPr>
            <w:tcW w:w="621" w:type="pct"/>
          </w:tcPr>
          <w:p w14:paraId="7D72378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An et al. (2024)</w:t>
            </w:r>
            <w:r w:rsidRPr="002B4A51">
              <w:rPr>
                <w:rFonts w:ascii="Arial" w:hAnsi="Arial" w:cs="Arial"/>
                <w:sz w:val="24"/>
                <w:szCs w:val="24"/>
                <w:vertAlign w:val="superscript"/>
              </w:rPr>
              <w:t>70</w:t>
            </w:r>
          </w:p>
        </w:tc>
        <w:tc>
          <w:tcPr>
            <w:tcW w:w="1438" w:type="pct"/>
          </w:tcPr>
          <w:p w14:paraId="21C9F491"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South Korean adults with subjective cognitive decline (69.69 ± 7.21), MCI (70.18 ± 7.80), or dementia (71.75 ± 9.09) (</w:t>
            </w:r>
            <w:r w:rsidRPr="002B4A51">
              <w:rPr>
                <w:rFonts w:ascii="Arial" w:hAnsi="Arial" w:cs="Arial"/>
                <w:i/>
                <w:sz w:val="24"/>
                <w:szCs w:val="24"/>
                <w:lang w:val="en-US"/>
              </w:rPr>
              <w:t xml:space="preserve">n </w:t>
            </w:r>
            <w:r w:rsidRPr="002B4A51">
              <w:rPr>
                <w:rFonts w:ascii="Arial" w:hAnsi="Arial" w:cs="Arial"/>
                <w:sz w:val="24"/>
                <w:szCs w:val="24"/>
                <w:lang w:val="en-US"/>
              </w:rPr>
              <w:t xml:space="preserve">= 254) </w:t>
            </w:r>
          </w:p>
        </w:tc>
        <w:tc>
          <w:tcPr>
            <w:tcW w:w="1579" w:type="pct"/>
          </w:tcPr>
          <w:p w14:paraId="5BB81825"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elderly individuals (validity based on external measures) </w:t>
            </w:r>
          </w:p>
        </w:tc>
        <w:tc>
          <w:tcPr>
            <w:tcW w:w="772" w:type="pct"/>
          </w:tcPr>
          <w:p w14:paraId="4083297E"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2DBAFC1" w14:textId="77777777" w:rsidR="00910063" w:rsidRPr="002B4A51" w:rsidRDefault="00444B2F" w:rsidP="002B4A51">
            <w:pPr>
              <w:spacing w:after="0" w:line="360" w:lineRule="auto"/>
              <w:jc w:val="both"/>
              <w:rPr>
                <w:rFonts w:ascii="Arial" w:hAnsi="Arial" w:cs="Arial"/>
                <w:sz w:val="24"/>
                <w:szCs w:val="24"/>
              </w:rPr>
            </w:pPr>
            <w:r w:rsidRPr="002B4A51">
              <w:rPr>
                <w:rFonts w:ascii="Arial" w:hAnsi="Arial" w:cs="Arial"/>
                <w:sz w:val="24"/>
                <w:szCs w:val="24"/>
              </w:rPr>
              <w:t>Inbrain CST</w:t>
            </w:r>
            <w:r w:rsidRPr="002B4A51">
              <w:rPr>
                <w:rFonts w:ascii="Arial" w:hAnsi="Arial" w:cs="Arial"/>
                <w:sz w:val="24"/>
                <w:szCs w:val="24"/>
                <w:vertAlign w:val="superscript"/>
              </w:rPr>
              <w:t>+</w:t>
            </w:r>
            <w:r w:rsidRPr="002B4A51">
              <w:rPr>
                <w:rFonts w:ascii="Arial" w:hAnsi="Arial" w:cs="Arial"/>
                <w:sz w:val="24"/>
                <w:szCs w:val="24"/>
              </w:rPr>
              <w:t xml:space="preserve"> </w:t>
            </w:r>
          </w:p>
        </w:tc>
      </w:tr>
      <w:tr w:rsidR="00AB7808" w:rsidRPr="002B4A51" w14:paraId="7D458608" w14:textId="77777777" w:rsidTr="00BC6E90">
        <w:tc>
          <w:tcPr>
            <w:tcW w:w="621" w:type="pct"/>
          </w:tcPr>
          <w:p w14:paraId="238C1F1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Gaynor et al. (2024)</w:t>
            </w:r>
            <w:r w:rsidRPr="002B4A51">
              <w:rPr>
                <w:rFonts w:ascii="Arial" w:hAnsi="Arial" w:cs="Arial"/>
                <w:sz w:val="24"/>
                <w:szCs w:val="24"/>
                <w:vertAlign w:val="superscript"/>
              </w:rPr>
              <w:t>71</w:t>
            </w:r>
          </w:p>
        </w:tc>
        <w:tc>
          <w:tcPr>
            <w:tcW w:w="1438" w:type="pct"/>
          </w:tcPr>
          <w:p w14:paraId="519066A1"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1451DE" w:rsidRPr="002B4A51">
              <w:rPr>
                <w:rFonts w:ascii="Arial" w:hAnsi="Arial" w:cs="Arial"/>
                <w:sz w:val="24"/>
                <w:szCs w:val="24"/>
              </w:rPr>
              <w:t>adult (40-56) cancer survivors (</w:t>
            </w:r>
            <w:r w:rsidR="001451DE" w:rsidRPr="002B4A51">
              <w:rPr>
                <w:rFonts w:ascii="Arial" w:hAnsi="Arial" w:cs="Arial"/>
                <w:i/>
                <w:sz w:val="24"/>
                <w:szCs w:val="24"/>
              </w:rPr>
              <w:t>n</w:t>
            </w:r>
            <w:r w:rsidR="001451DE" w:rsidRPr="002B4A51">
              <w:rPr>
                <w:rFonts w:ascii="Arial" w:hAnsi="Arial" w:cs="Arial"/>
                <w:sz w:val="24"/>
                <w:szCs w:val="24"/>
              </w:rPr>
              <w:t xml:space="preserve"> = 174) </w:t>
            </w:r>
          </w:p>
        </w:tc>
        <w:tc>
          <w:tcPr>
            <w:tcW w:w="1579" w:type="pct"/>
          </w:tcPr>
          <w:p w14:paraId="2BBE02B6"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cognitive screening battery for cancer survivors (validity based on external measures) </w:t>
            </w:r>
          </w:p>
        </w:tc>
        <w:tc>
          <w:tcPr>
            <w:tcW w:w="772" w:type="pct"/>
          </w:tcPr>
          <w:p w14:paraId="337AB9E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63A150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Cogsuite</w:t>
            </w:r>
          </w:p>
        </w:tc>
      </w:tr>
      <w:tr w:rsidR="00AB7808" w:rsidRPr="002B4A51" w14:paraId="2F5DAE3D" w14:textId="77777777" w:rsidTr="00BC6E90">
        <w:tc>
          <w:tcPr>
            <w:tcW w:w="621" w:type="pct"/>
          </w:tcPr>
          <w:p w14:paraId="6F33CE9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Hoffmeister et al. (2024)</w:t>
            </w:r>
            <w:r w:rsidRPr="002B4A51">
              <w:rPr>
                <w:rFonts w:ascii="Arial" w:hAnsi="Arial" w:cs="Arial"/>
                <w:sz w:val="24"/>
                <w:szCs w:val="24"/>
                <w:vertAlign w:val="superscript"/>
              </w:rPr>
              <w:t>72</w:t>
            </w:r>
          </w:p>
        </w:tc>
        <w:tc>
          <w:tcPr>
            <w:tcW w:w="1438" w:type="pct"/>
          </w:tcPr>
          <w:p w14:paraId="3189C0CA"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 xml:space="preserve">USA </w:t>
            </w:r>
            <w:r w:rsidR="001451DE" w:rsidRPr="002B4A51">
              <w:rPr>
                <w:rFonts w:ascii="Arial" w:hAnsi="Arial" w:cs="Arial"/>
                <w:sz w:val="24"/>
                <w:szCs w:val="24"/>
              </w:rPr>
              <w:t>adults (</w:t>
            </w:r>
            <w:r w:rsidR="001451DE" w:rsidRPr="002B4A51">
              <w:rPr>
                <w:rFonts w:ascii="Arial" w:hAnsi="Arial" w:cs="Arial"/>
                <w:i/>
                <w:sz w:val="24"/>
                <w:szCs w:val="24"/>
              </w:rPr>
              <w:t xml:space="preserve">n </w:t>
            </w:r>
            <w:r w:rsidR="001451DE" w:rsidRPr="002B4A51">
              <w:rPr>
                <w:rFonts w:ascii="Arial" w:hAnsi="Arial" w:cs="Arial"/>
                <w:sz w:val="24"/>
                <w:szCs w:val="24"/>
              </w:rPr>
              <w:t>= 47)</w:t>
            </w:r>
          </w:p>
        </w:tc>
        <w:tc>
          <w:tcPr>
            <w:tcW w:w="1579" w:type="pct"/>
          </w:tcPr>
          <w:p w14:paraId="0CB5CCF1"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elderly individuals (validity based on external measures) </w:t>
            </w:r>
          </w:p>
        </w:tc>
        <w:tc>
          <w:tcPr>
            <w:tcW w:w="772" w:type="pct"/>
          </w:tcPr>
          <w:p w14:paraId="3583FEE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3D7F84F"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Neurotrax </w:t>
            </w:r>
          </w:p>
        </w:tc>
      </w:tr>
      <w:tr w:rsidR="00AB7808" w:rsidRPr="002B4A51" w14:paraId="652A4781" w14:textId="77777777" w:rsidTr="00BC6E90">
        <w:tc>
          <w:tcPr>
            <w:tcW w:w="621" w:type="pct"/>
          </w:tcPr>
          <w:p w14:paraId="37F23533"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Li et al. (2024)</w:t>
            </w:r>
            <w:r w:rsidRPr="002B4A51">
              <w:rPr>
                <w:rFonts w:ascii="Arial" w:hAnsi="Arial" w:cs="Arial"/>
                <w:sz w:val="24"/>
                <w:szCs w:val="24"/>
                <w:vertAlign w:val="superscript"/>
              </w:rPr>
              <w:t>58</w:t>
            </w:r>
          </w:p>
        </w:tc>
        <w:tc>
          <w:tcPr>
            <w:tcW w:w="1438" w:type="pct"/>
          </w:tcPr>
          <w:p w14:paraId="61EFB39A"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Australian seniors (51-84) (</w:t>
            </w:r>
            <w:r w:rsidRPr="002B4A51">
              <w:rPr>
                <w:rFonts w:ascii="Arial" w:hAnsi="Arial" w:cs="Arial"/>
                <w:i/>
                <w:sz w:val="24"/>
                <w:szCs w:val="24"/>
              </w:rPr>
              <w:t>n</w:t>
            </w:r>
            <w:r w:rsidRPr="002B4A51">
              <w:rPr>
                <w:rFonts w:ascii="Arial" w:hAnsi="Arial" w:cs="Arial"/>
                <w:sz w:val="24"/>
                <w:szCs w:val="24"/>
              </w:rPr>
              <w:t xml:space="preserve"> = 404)</w:t>
            </w:r>
          </w:p>
        </w:tc>
        <w:tc>
          <w:tcPr>
            <w:tcW w:w="1579" w:type="pct"/>
          </w:tcPr>
          <w:p w14:paraId="43C9FF20"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Association between finger-tapping task and general cognitive performance </w:t>
            </w:r>
          </w:p>
        </w:tc>
        <w:tc>
          <w:tcPr>
            <w:tcW w:w="772" w:type="pct"/>
          </w:tcPr>
          <w:p w14:paraId="374D42D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2A0A389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CANTAB </w:t>
            </w:r>
          </w:p>
        </w:tc>
      </w:tr>
      <w:tr w:rsidR="00AB7808" w:rsidRPr="002B4A51" w14:paraId="61F16C6D" w14:textId="77777777" w:rsidTr="00BC6E90">
        <w:tc>
          <w:tcPr>
            <w:tcW w:w="621" w:type="pct"/>
          </w:tcPr>
          <w:p w14:paraId="22061EB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Maierhofer et al. (2024)</w:t>
            </w:r>
            <w:r w:rsidRPr="002B4A51">
              <w:rPr>
                <w:rFonts w:ascii="Arial" w:hAnsi="Arial" w:cs="Arial"/>
                <w:sz w:val="24"/>
                <w:szCs w:val="24"/>
                <w:vertAlign w:val="superscript"/>
              </w:rPr>
              <w:t>73</w:t>
            </w:r>
          </w:p>
        </w:tc>
        <w:tc>
          <w:tcPr>
            <w:tcW w:w="1438" w:type="pct"/>
          </w:tcPr>
          <w:p w14:paraId="5FD5402D"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Austrian adults (19-90) (</w:t>
            </w:r>
            <w:r w:rsidRPr="002B4A51">
              <w:rPr>
                <w:rFonts w:ascii="Arial" w:hAnsi="Arial" w:cs="Arial"/>
                <w:i/>
                <w:sz w:val="24"/>
                <w:szCs w:val="24"/>
              </w:rPr>
              <w:t>n</w:t>
            </w:r>
            <w:r w:rsidRPr="002B4A51">
              <w:rPr>
                <w:rFonts w:ascii="Arial" w:hAnsi="Arial" w:cs="Arial"/>
                <w:sz w:val="24"/>
                <w:szCs w:val="24"/>
              </w:rPr>
              <w:t xml:space="preserve"> = 70) </w:t>
            </w:r>
          </w:p>
        </w:tc>
        <w:tc>
          <w:tcPr>
            <w:tcW w:w="1579" w:type="pct"/>
          </w:tcPr>
          <w:p w14:paraId="130BD531"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general cognitive screening battery (validity based on external measures) </w:t>
            </w:r>
          </w:p>
        </w:tc>
        <w:tc>
          <w:tcPr>
            <w:tcW w:w="772" w:type="pct"/>
          </w:tcPr>
          <w:p w14:paraId="47FE804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98C2EF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INCP </w:t>
            </w:r>
          </w:p>
        </w:tc>
      </w:tr>
      <w:tr w:rsidR="00AB7808" w:rsidRPr="002B4A51" w14:paraId="0A70C945" w14:textId="77777777" w:rsidTr="00BC6E90">
        <w:tc>
          <w:tcPr>
            <w:tcW w:w="621" w:type="pct"/>
          </w:tcPr>
          <w:p w14:paraId="05D97721"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lang w:val="en-US"/>
              </w:rPr>
              <w:t>Morrissey et al. (2024)</w:t>
            </w:r>
            <w:r w:rsidRPr="002B4A51">
              <w:rPr>
                <w:rFonts w:ascii="Arial" w:hAnsi="Arial" w:cs="Arial"/>
                <w:sz w:val="24"/>
                <w:szCs w:val="24"/>
                <w:vertAlign w:val="superscript"/>
                <w:lang w:val="en-US"/>
              </w:rPr>
              <w:t>74</w:t>
            </w:r>
          </w:p>
        </w:tc>
        <w:tc>
          <w:tcPr>
            <w:tcW w:w="1438" w:type="pct"/>
          </w:tcPr>
          <w:p w14:paraId="02BBE530" w14:textId="77777777" w:rsidR="00910063" w:rsidRPr="002B4A51" w:rsidRDefault="001451DE" w:rsidP="002B4A51">
            <w:pPr>
              <w:spacing w:after="0" w:line="360" w:lineRule="auto"/>
              <w:jc w:val="both"/>
              <w:rPr>
                <w:rFonts w:ascii="Arial" w:hAnsi="Arial" w:cs="Arial"/>
                <w:sz w:val="24"/>
                <w:szCs w:val="24"/>
              </w:rPr>
            </w:pPr>
            <w:r w:rsidRPr="002B4A51">
              <w:rPr>
                <w:rFonts w:ascii="Arial" w:hAnsi="Arial" w:cs="Arial"/>
                <w:sz w:val="24"/>
                <w:szCs w:val="24"/>
              </w:rPr>
              <w:t>British elderly (70.19 ± 4.84) ​​(</w:t>
            </w:r>
            <w:r w:rsidRPr="002B4A51">
              <w:rPr>
                <w:rFonts w:ascii="Arial" w:hAnsi="Arial" w:cs="Arial"/>
                <w:i/>
                <w:sz w:val="24"/>
                <w:szCs w:val="24"/>
              </w:rPr>
              <w:t>n</w:t>
            </w:r>
            <w:r w:rsidRPr="002B4A51">
              <w:rPr>
                <w:rFonts w:ascii="Arial" w:hAnsi="Arial" w:cs="Arial"/>
                <w:sz w:val="24"/>
                <w:szCs w:val="24"/>
              </w:rPr>
              <w:t xml:space="preserve"> = 32) </w:t>
            </w:r>
          </w:p>
        </w:tc>
        <w:tc>
          <w:tcPr>
            <w:tcW w:w="1579" w:type="pct"/>
          </w:tcPr>
          <w:p w14:paraId="7D541EC0" w14:textId="77777777" w:rsidR="00910063" w:rsidRPr="002B4A51" w:rsidRDefault="001451DE"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in elderly individuals (development) </w:t>
            </w:r>
          </w:p>
        </w:tc>
        <w:tc>
          <w:tcPr>
            <w:tcW w:w="772" w:type="pct"/>
          </w:tcPr>
          <w:p w14:paraId="1F2CB46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111269C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NeurOn </w:t>
            </w:r>
          </w:p>
        </w:tc>
      </w:tr>
      <w:tr w:rsidR="00AB7808" w:rsidRPr="002B4A51" w14:paraId="1DEA445A" w14:textId="77777777" w:rsidTr="00BC6E90">
        <w:tc>
          <w:tcPr>
            <w:tcW w:w="621" w:type="pct"/>
          </w:tcPr>
          <w:p w14:paraId="23E6049B"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rPr>
              <w:t>Pan et al. (2024)</w:t>
            </w:r>
            <w:r w:rsidRPr="002B4A51">
              <w:rPr>
                <w:rFonts w:ascii="Arial" w:hAnsi="Arial" w:cs="Arial"/>
                <w:sz w:val="24"/>
                <w:szCs w:val="24"/>
                <w:vertAlign w:val="superscript"/>
              </w:rPr>
              <w:t>75</w:t>
            </w:r>
          </w:p>
        </w:tc>
        <w:tc>
          <w:tcPr>
            <w:tcW w:w="1438" w:type="pct"/>
          </w:tcPr>
          <w:p w14:paraId="4A4B6C0D"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Chinese adults (18–40) (</w:t>
            </w:r>
            <w:r w:rsidRPr="002B4A51">
              <w:rPr>
                <w:rFonts w:ascii="Arial" w:hAnsi="Arial" w:cs="Arial"/>
                <w:i/>
                <w:sz w:val="24"/>
                <w:szCs w:val="24"/>
              </w:rPr>
              <w:t xml:space="preserve">n </w:t>
            </w:r>
            <w:r w:rsidRPr="002B4A51">
              <w:rPr>
                <w:rFonts w:ascii="Arial" w:hAnsi="Arial" w:cs="Arial"/>
                <w:sz w:val="24"/>
                <w:szCs w:val="24"/>
              </w:rPr>
              <w:t xml:space="preserve">= 151) </w:t>
            </w:r>
          </w:p>
        </w:tc>
        <w:tc>
          <w:tcPr>
            <w:tcW w:w="1579" w:type="pct"/>
          </w:tcPr>
          <w:p w14:paraId="4A7CFBF9"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general cognitive screening battery (development) </w:t>
            </w:r>
          </w:p>
        </w:tc>
        <w:tc>
          <w:tcPr>
            <w:tcW w:w="772" w:type="pct"/>
          </w:tcPr>
          <w:p w14:paraId="37DB63B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Observational/cross-sectional</w:t>
            </w:r>
          </w:p>
        </w:tc>
        <w:tc>
          <w:tcPr>
            <w:tcW w:w="591" w:type="pct"/>
          </w:tcPr>
          <w:p w14:paraId="768D184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BOCAS</w:t>
            </w:r>
          </w:p>
        </w:tc>
      </w:tr>
      <w:tr w:rsidR="00AB7808" w:rsidRPr="002B4A51" w14:paraId="1C32D31F" w14:textId="77777777" w:rsidTr="00BC6E90">
        <w:tc>
          <w:tcPr>
            <w:tcW w:w="621" w:type="pct"/>
          </w:tcPr>
          <w:p w14:paraId="3F4CE64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Patel et al. (2024)</w:t>
            </w:r>
            <w:r w:rsidRPr="002B4A51">
              <w:rPr>
                <w:rFonts w:ascii="Arial" w:hAnsi="Arial" w:cs="Arial"/>
                <w:sz w:val="24"/>
                <w:szCs w:val="24"/>
                <w:vertAlign w:val="superscript"/>
              </w:rPr>
              <w:t>76</w:t>
            </w:r>
          </w:p>
        </w:tc>
        <w:tc>
          <w:tcPr>
            <w:tcW w:w="1438" w:type="pct"/>
          </w:tcPr>
          <w:p w14:paraId="042ABA0A"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cognitive impairment during long covid (</w:t>
            </w:r>
            <w:r w:rsidRPr="002B4A51">
              <w:rPr>
                <w:rFonts w:ascii="Arial" w:hAnsi="Arial" w:cs="Arial"/>
                <w:i/>
                <w:sz w:val="24"/>
                <w:szCs w:val="24"/>
                <w:lang w:val="en-US"/>
              </w:rPr>
              <w:t>n</w:t>
            </w:r>
            <w:r w:rsidRPr="002B4A51">
              <w:rPr>
                <w:rFonts w:ascii="Arial" w:hAnsi="Arial" w:cs="Arial"/>
                <w:sz w:val="24"/>
                <w:szCs w:val="24"/>
                <w:lang w:val="en-US"/>
              </w:rPr>
              <w:t xml:space="preserve"> = 102) </w:t>
            </w:r>
          </w:p>
        </w:tc>
        <w:tc>
          <w:tcPr>
            <w:tcW w:w="1579" w:type="pct"/>
          </w:tcPr>
          <w:p w14:paraId="762FC45B"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 xml:space="preserve">Cognition under long covid </w:t>
            </w:r>
          </w:p>
        </w:tc>
        <w:tc>
          <w:tcPr>
            <w:tcW w:w="772" w:type="pct"/>
          </w:tcPr>
          <w:p w14:paraId="218CD62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2FFD8F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LCCAB </w:t>
            </w:r>
          </w:p>
        </w:tc>
      </w:tr>
      <w:tr w:rsidR="00AB7808" w:rsidRPr="002B4A51" w14:paraId="631DF655" w14:textId="77777777" w:rsidTr="00BC6E90">
        <w:tc>
          <w:tcPr>
            <w:tcW w:w="621" w:type="pct"/>
          </w:tcPr>
          <w:p w14:paraId="64DA14DE" w14:textId="77777777" w:rsidR="00910063" w:rsidRPr="002B4A51" w:rsidRDefault="00910063" w:rsidP="002B4A51">
            <w:pPr>
              <w:tabs>
                <w:tab w:val="left" w:pos="1590"/>
              </w:tabs>
              <w:spacing w:after="0" w:line="360" w:lineRule="auto"/>
              <w:jc w:val="both"/>
              <w:rPr>
                <w:rFonts w:ascii="Arial" w:hAnsi="Arial" w:cs="Arial"/>
                <w:sz w:val="24"/>
                <w:szCs w:val="24"/>
                <w:lang w:val="en-US"/>
              </w:rPr>
            </w:pPr>
            <w:r w:rsidRPr="002B4A51">
              <w:rPr>
                <w:rFonts w:ascii="Arial" w:hAnsi="Arial" w:cs="Arial"/>
                <w:sz w:val="24"/>
                <w:szCs w:val="24"/>
                <w:lang w:val="en-US"/>
              </w:rPr>
              <w:t>Thienel et al. (2024)</w:t>
            </w:r>
            <w:r w:rsidRPr="002B4A51">
              <w:rPr>
                <w:rFonts w:ascii="Arial" w:hAnsi="Arial" w:cs="Arial"/>
                <w:sz w:val="24"/>
                <w:szCs w:val="24"/>
                <w:vertAlign w:val="superscript"/>
                <w:lang w:val="en-US"/>
              </w:rPr>
              <w:t>77</w:t>
            </w:r>
          </w:p>
        </w:tc>
        <w:tc>
          <w:tcPr>
            <w:tcW w:w="1438" w:type="pct"/>
          </w:tcPr>
          <w:p w14:paraId="1D5F62DD"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Australian adults (46-71) (</w:t>
            </w:r>
            <w:r w:rsidRPr="002B4A51">
              <w:rPr>
                <w:rFonts w:ascii="Arial" w:hAnsi="Arial" w:cs="Arial"/>
                <w:i/>
                <w:sz w:val="24"/>
                <w:szCs w:val="24"/>
              </w:rPr>
              <w:t xml:space="preserve">n </w:t>
            </w:r>
            <w:r w:rsidRPr="002B4A51">
              <w:rPr>
                <w:rFonts w:ascii="Arial" w:hAnsi="Arial" w:cs="Arial"/>
                <w:sz w:val="24"/>
                <w:szCs w:val="24"/>
              </w:rPr>
              <w:t xml:space="preserve">= 141) </w:t>
            </w:r>
          </w:p>
        </w:tc>
        <w:tc>
          <w:tcPr>
            <w:tcW w:w="1579" w:type="pct"/>
          </w:tcPr>
          <w:p w14:paraId="6F60866F"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Association between brain morphology and cognitive performance </w:t>
            </w:r>
          </w:p>
        </w:tc>
        <w:tc>
          <w:tcPr>
            <w:tcW w:w="772" w:type="pct"/>
          </w:tcPr>
          <w:p w14:paraId="65123B78"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07806136"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Creyos [CBS] </w:t>
            </w:r>
          </w:p>
        </w:tc>
      </w:tr>
      <w:tr w:rsidR="00AB7808" w:rsidRPr="002B4A51" w14:paraId="229D2DBA" w14:textId="77777777" w:rsidTr="00BC6E90">
        <w:tc>
          <w:tcPr>
            <w:tcW w:w="621" w:type="pct"/>
          </w:tcPr>
          <w:p w14:paraId="0F80110B"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rPr>
              <w:t>Tsiaras et al. (2024)</w:t>
            </w:r>
            <w:r w:rsidRPr="002B4A51">
              <w:rPr>
                <w:rFonts w:ascii="Arial" w:hAnsi="Arial" w:cs="Arial"/>
                <w:sz w:val="24"/>
                <w:szCs w:val="24"/>
                <w:vertAlign w:val="superscript"/>
              </w:rPr>
              <w:t>78</w:t>
            </w:r>
          </w:p>
        </w:tc>
        <w:tc>
          <w:tcPr>
            <w:tcW w:w="1438" w:type="pct"/>
          </w:tcPr>
          <w:p w14:paraId="3F1A97A1"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Greek adults (18-70) (</w:t>
            </w:r>
            <w:r w:rsidRPr="002B4A51">
              <w:rPr>
                <w:rFonts w:ascii="Arial" w:hAnsi="Arial" w:cs="Arial"/>
                <w:i/>
                <w:sz w:val="24"/>
                <w:szCs w:val="24"/>
              </w:rPr>
              <w:t>n</w:t>
            </w:r>
            <w:r w:rsidRPr="002B4A51">
              <w:rPr>
                <w:rFonts w:ascii="Arial" w:hAnsi="Arial" w:cs="Arial"/>
                <w:sz w:val="24"/>
                <w:szCs w:val="24"/>
              </w:rPr>
              <w:t xml:space="preserve"> = 169) </w:t>
            </w:r>
          </w:p>
        </w:tc>
        <w:tc>
          <w:tcPr>
            <w:tcW w:w="1579" w:type="pct"/>
          </w:tcPr>
          <w:p w14:paraId="7A37E403"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Psychometric properties of a battery for general cognitive screening (development)</w:t>
            </w:r>
          </w:p>
        </w:tc>
        <w:tc>
          <w:tcPr>
            <w:tcW w:w="772" w:type="pct"/>
          </w:tcPr>
          <w:p w14:paraId="4D332FD7"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3FBF228C"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SAO </w:t>
            </w:r>
          </w:p>
        </w:tc>
      </w:tr>
      <w:tr w:rsidR="00AB7808" w:rsidRPr="002B4A51" w14:paraId="28804227" w14:textId="77777777" w:rsidTr="00BC6E90">
        <w:tc>
          <w:tcPr>
            <w:tcW w:w="621" w:type="pct"/>
          </w:tcPr>
          <w:p w14:paraId="02EFFC62"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Woods et al. (2024)</w:t>
            </w:r>
            <w:r w:rsidRPr="002B4A51">
              <w:rPr>
                <w:rFonts w:ascii="Arial" w:hAnsi="Arial" w:cs="Arial"/>
                <w:sz w:val="24"/>
                <w:szCs w:val="24"/>
                <w:vertAlign w:val="superscript"/>
                <w:lang w:val="en-US"/>
              </w:rPr>
              <w:t>79</w:t>
            </w:r>
          </w:p>
        </w:tc>
        <w:tc>
          <w:tcPr>
            <w:tcW w:w="1438" w:type="pct"/>
          </w:tcPr>
          <w:p w14:paraId="4BB1FDD6" w14:textId="77777777" w:rsidR="00910063" w:rsidRPr="002B4A51" w:rsidRDefault="007F1142" w:rsidP="002B4A51">
            <w:pPr>
              <w:spacing w:after="0" w:line="360" w:lineRule="auto"/>
              <w:jc w:val="both"/>
              <w:rPr>
                <w:rFonts w:ascii="Arial" w:hAnsi="Arial" w:cs="Arial"/>
                <w:sz w:val="24"/>
                <w:szCs w:val="24"/>
              </w:rPr>
            </w:pPr>
            <w:r w:rsidRPr="002B4A51">
              <w:rPr>
                <w:rFonts w:ascii="Arial" w:hAnsi="Arial" w:cs="Arial"/>
                <w:sz w:val="24"/>
                <w:szCs w:val="24"/>
              </w:rPr>
              <w:t>USA</w:t>
            </w:r>
            <w:r w:rsidR="002A7634" w:rsidRPr="002B4A51">
              <w:rPr>
                <w:rFonts w:ascii="Arial" w:hAnsi="Arial" w:cs="Arial"/>
                <w:sz w:val="24"/>
                <w:szCs w:val="24"/>
              </w:rPr>
              <w:t xml:space="preserve"> elders (50-89) (</w:t>
            </w:r>
            <w:r w:rsidR="002A7634" w:rsidRPr="002B4A51">
              <w:rPr>
                <w:rFonts w:ascii="Arial" w:hAnsi="Arial" w:cs="Arial"/>
                <w:i/>
                <w:sz w:val="24"/>
                <w:szCs w:val="24"/>
              </w:rPr>
              <w:t>n</w:t>
            </w:r>
            <w:r w:rsidR="002A7634" w:rsidRPr="002B4A51">
              <w:rPr>
                <w:rFonts w:ascii="Arial" w:hAnsi="Arial" w:cs="Arial"/>
                <w:sz w:val="24"/>
                <w:szCs w:val="24"/>
              </w:rPr>
              <w:t xml:space="preserve"> = 415)</w:t>
            </w:r>
          </w:p>
        </w:tc>
        <w:tc>
          <w:tcPr>
            <w:tcW w:w="1579" w:type="pct"/>
          </w:tcPr>
          <w:p w14:paraId="0663EA77"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cognitive screening of elderly individuals (development) </w:t>
            </w:r>
          </w:p>
        </w:tc>
        <w:tc>
          <w:tcPr>
            <w:tcW w:w="772" w:type="pct"/>
          </w:tcPr>
          <w:p w14:paraId="42269B0A"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5E16B73B"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CCAB</w:t>
            </w:r>
          </w:p>
        </w:tc>
      </w:tr>
      <w:tr w:rsidR="00AB7808" w:rsidRPr="002B4A51" w14:paraId="7059682E" w14:textId="77777777" w:rsidTr="00BC6E90">
        <w:tc>
          <w:tcPr>
            <w:tcW w:w="621" w:type="pct"/>
          </w:tcPr>
          <w:p w14:paraId="5B76A556"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Zhang et al. (2024)</w:t>
            </w:r>
            <w:r w:rsidRPr="002B4A51">
              <w:rPr>
                <w:rFonts w:ascii="Arial" w:hAnsi="Arial" w:cs="Arial"/>
                <w:sz w:val="24"/>
                <w:szCs w:val="24"/>
                <w:vertAlign w:val="superscript"/>
                <w:lang w:val="en-US"/>
              </w:rPr>
              <w:t>80</w:t>
            </w:r>
          </w:p>
        </w:tc>
        <w:tc>
          <w:tcPr>
            <w:tcW w:w="1438" w:type="pct"/>
          </w:tcPr>
          <w:p w14:paraId="71B1C5E8"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Chinese elderly (51-86) (</w:t>
            </w:r>
            <w:r w:rsidRPr="002B4A51">
              <w:rPr>
                <w:rFonts w:ascii="Arial" w:hAnsi="Arial" w:cs="Arial"/>
                <w:i/>
                <w:sz w:val="24"/>
                <w:szCs w:val="24"/>
              </w:rPr>
              <w:t xml:space="preserve">n </w:t>
            </w:r>
            <w:r w:rsidRPr="002B4A51">
              <w:rPr>
                <w:rFonts w:ascii="Arial" w:hAnsi="Arial" w:cs="Arial"/>
                <w:sz w:val="24"/>
                <w:szCs w:val="24"/>
              </w:rPr>
              <w:t xml:space="preserve">= 86) </w:t>
            </w:r>
          </w:p>
        </w:tc>
        <w:tc>
          <w:tcPr>
            <w:tcW w:w="1579" w:type="pct"/>
          </w:tcPr>
          <w:p w14:paraId="4C02442D"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battery for general cognitive screening (development) </w:t>
            </w:r>
          </w:p>
        </w:tc>
        <w:tc>
          <w:tcPr>
            <w:tcW w:w="772" w:type="pct"/>
          </w:tcPr>
          <w:p w14:paraId="0DFE4599"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6EC0AA7D"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CNCB </w:t>
            </w:r>
          </w:p>
        </w:tc>
      </w:tr>
      <w:tr w:rsidR="00AB7808" w:rsidRPr="002B4A51" w14:paraId="07094AAF" w14:textId="77777777" w:rsidTr="00BC6E90">
        <w:tc>
          <w:tcPr>
            <w:tcW w:w="621" w:type="pct"/>
          </w:tcPr>
          <w:p w14:paraId="30FEA6C5"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Bergman et al. (2025)</w:t>
            </w:r>
            <w:r w:rsidRPr="002B4A51">
              <w:rPr>
                <w:rFonts w:ascii="Arial" w:hAnsi="Arial" w:cs="Arial"/>
                <w:sz w:val="24"/>
                <w:szCs w:val="24"/>
                <w:vertAlign w:val="superscript"/>
              </w:rPr>
              <w:t>81</w:t>
            </w:r>
          </w:p>
        </w:tc>
        <w:tc>
          <w:tcPr>
            <w:tcW w:w="1438" w:type="pct"/>
          </w:tcPr>
          <w:p w14:paraId="3450A95C"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Swedish adults (20-79) (</w:t>
            </w:r>
            <w:r w:rsidRPr="002B4A51">
              <w:rPr>
                <w:rFonts w:ascii="Arial" w:hAnsi="Arial" w:cs="Arial"/>
                <w:i/>
                <w:sz w:val="24"/>
                <w:szCs w:val="24"/>
              </w:rPr>
              <w:t>n</w:t>
            </w:r>
            <w:r w:rsidRPr="002B4A51">
              <w:rPr>
                <w:rFonts w:ascii="Arial" w:hAnsi="Arial" w:cs="Arial"/>
                <w:sz w:val="24"/>
                <w:szCs w:val="24"/>
              </w:rPr>
              <w:t xml:space="preserve"> = 149) </w:t>
            </w:r>
          </w:p>
        </w:tc>
        <w:tc>
          <w:tcPr>
            <w:tcW w:w="1579" w:type="pct"/>
          </w:tcPr>
          <w:p w14:paraId="157E0771"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general cognitive screening battery (internal reliability) </w:t>
            </w:r>
          </w:p>
        </w:tc>
        <w:tc>
          <w:tcPr>
            <w:tcW w:w="772" w:type="pct"/>
          </w:tcPr>
          <w:p w14:paraId="1EF02570"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Pr>
          <w:p w14:paraId="7DD8F3AE"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Mindmore – Tablet Version </w:t>
            </w:r>
          </w:p>
        </w:tc>
      </w:tr>
      <w:tr w:rsidR="00AB7808" w:rsidRPr="002B4A51" w14:paraId="37AB5ECF" w14:textId="77777777" w:rsidTr="00BC6E90">
        <w:tc>
          <w:tcPr>
            <w:tcW w:w="621" w:type="pct"/>
            <w:tcBorders>
              <w:bottom w:val="single" w:sz="4" w:space="0" w:color="auto"/>
            </w:tcBorders>
          </w:tcPr>
          <w:p w14:paraId="0A82C16B" w14:textId="77777777" w:rsidR="00910063" w:rsidRPr="002B4A51" w:rsidRDefault="00910063"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Wärn et al. (2025)</w:t>
            </w:r>
            <w:r w:rsidRPr="002B4A51">
              <w:rPr>
                <w:rFonts w:ascii="Arial" w:hAnsi="Arial" w:cs="Arial"/>
                <w:sz w:val="24"/>
                <w:szCs w:val="24"/>
                <w:vertAlign w:val="superscript"/>
                <w:lang w:val="en-US"/>
              </w:rPr>
              <w:t>82</w:t>
            </w:r>
          </w:p>
        </w:tc>
        <w:tc>
          <w:tcPr>
            <w:tcW w:w="1438" w:type="pct"/>
            <w:tcBorders>
              <w:bottom w:val="single" w:sz="4" w:space="0" w:color="auto"/>
            </w:tcBorders>
          </w:tcPr>
          <w:p w14:paraId="5542CEEE" w14:textId="77777777" w:rsidR="00910063" w:rsidRPr="002B4A51" w:rsidRDefault="002A7634" w:rsidP="002B4A51">
            <w:pPr>
              <w:spacing w:after="0" w:line="360" w:lineRule="auto"/>
              <w:jc w:val="both"/>
              <w:rPr>
                <w:rFonts w:ascii="Arial" w:hAnsi="Arial" w:cs="Arial"/>
                <w:sz w:val="24"/>
                <w:szCs w:val="24"/>
              </w:rPr>
            </w:pPr>
            <w:r w:rsidRPr="002B4A51">
              <w:rPr>
                <w:rFonts w:ascii="Arial" w:hAnsi="Arial" w:cs="Arial"/>
                <w:sz w:val="24"/>
                <w:szCs w:val="24"/>
              </w:rPr>
              <w:t xml:space="preserve">Swedish adults (18-89) (n = 52) </w:t>
            </w:r>
          </w:p>
        </w:tc>
        <w:tc>
          <w:tcPr>
            <w:tcW w:w="1579" w:type="pct"/>
            <w:tcBorders>
              <w:bottom w:val="single" w:sz="4" w:space="0" w:color="auto"/>
            </w:tcBorders>
          </w:tcPr>
          <w:p w14:paraId="7F096EFA" w14:textId="77777777" w:rsidR="00910063" w:rsidRPr="002B4A51" w:rsidRDefault="002A7634"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Psychometric properties of a general cognitive screening battery (validity based on external measures) </w:t>
            </w:r>
          </w:p>
        </w:tc>
        <w:tc>
          <w:tcPr>
            <w:tcW w:w="772" w:type="pct"/>
            <w:tcBorders>
              <w:bottom w:val="single" w:sz="4" w:space="0" w:color="auto"/>
            </w:tcBorders>
          </w:tcPr>
          <w:p w14:paraId="27F369F4"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Observational/cross-sectional  </w:t>
            </w:r>
          </w:p>
        </w:tc>
        <w:tc>
          <w:tcPr>
            <w:tcW w:w="591" w:type="pct"/>
            <w:tcBorders>
              <w:bottom w:val="single" w:sz="4" w:space="0" w:color="auto"/>
            </w:tcBorders>
          </w:tcPr>
          <w:p w14:paraId="4034764E" w14:textId="77777777" w:rsidR="00910063" w:rsidRPr="002B4A51" w:rsidRDefault="00910063" w:rsidP="002B4A51">
            <w:pPr>
              <w:spacing w:after="0" w:line="360" w:lineRule="auto"/>
              <w:jc w:val="both"/>
              <w:rPr>
                <w:rFonts w:ascii="Arial" w:hAnsi="Arial" w:cs="Arial"/>
                <w:sz w:val="24"/>
                <w:szCs w:val="24"/>
              </w:rPr>
            </w:pPr>
            <w:r w:rsidRPr="002B4A51">
              <w:rPr>
                <w:rFonts w:ascii="Arial" w:hAnsi="Arial" w:cs="Arial"/>
                <w:sz w:val="24"/>
                <w:szCs w:val="24"/>
              </w:rPr>
              <w:t xml:space="preserve">Mindmore – Remote Version </w:t>
            </w:r>
          </w:p>
        </w:tc>
      </w:tr>
    </w:tbl>
    <w:p w14:paraId="4461082F" w14:textId="77777777" w:rsidR="00910063" w:rsidRPr="002B4A51" w:rsidRDefault="00444B2F" w:rsidP="002B4A51">
      <w:pPr>
        <w:spacing w:after="0" w:line="360" w:lineRule="auto"/>
        <w:jc w:val="both"/>
        <w:rPr>
          <w:rFonts w:ascii="Arial" w:hAnsi="Arial" w:cs="Arial"/>
          <w:sz w:val="24"/>
          <w:szCs w:val="24"/>
          <w:lang w:val="en-US"/>
        </w:rPr>
      </w:pPr>
      <w:r w:rsidRPr="002B4A51">
        <w:rPr>
          <w:rFonts w:ascii="Arial" w:hAnsi="Arial" w:cs="Arial"/>
          <w:sz w:val="24"/>
          <w:szCs w:val="24"/>
          <w:vertAlign w:val="superscript"/>
          <w:lang w:val="en-US"/>
        </w:rPr>
        <w:t>*</w:t>
      </w:r>
      <w:r w:rsidR="002A7634" w:rsidRPr="002B4A51">
        <w:rPr>
          <w:rFonts w:ascii="Arial" w:hAnsi="Arial" w:cs="Arial"/>
          <w:sz w:val="24"/>
          <w:szCs w:val="24"/>
          <w:lang w:val="en-US"/>
        </w:rPr>
        <w:t>A</w:t>
      </w:r>
      <w:r w:rsidR="00910063" w:rsidRPr="002B4A51">
        <w:rPr>
          <w:rFonts w:ascii="Arial" w:hAnsi="Arial" w:cs="Arial"/>
          <w:sz w:val="24"/>
          <w:szCs w:val="24"/>
          <w:lang w:val="en-US"/>
        </w:rPr>
        <w:t>ccording to Kapoor</w:t>
      </w:r>
      <w:r w:rsidR="00910063" w:rsidRPr="002B4A51">
        <w:rPr>
          <w:rFonts w:ascii="Arial" w:hAnsi="Arial" w:cs="Arial"/>
          <w:sz w:val="24"/>
          <w:szCs w:val="24"/>
          <w:vertAlign w:val="superscript"/>
          <w:lang w:val="en-US"/>
        </w:rPr>
        <w:t>17</w:t>
      </w:r>
      <w:r w:rsidR="00910063" w:rsidRPr="002B4A51">
        <w:rPr>
          <w:rFonts w:ascii="Arial" w:hAnsi="Arial" w:cs="Arial"/>
          <w:sz w:val="24"/>
          <w:szCs w:val="24"/>
          <w:lang w:val="en-US"/>
        </w:rPr>
        <w:t xml:space="preserve">. </w:t>
      </w:r>
      <w:r w:rsidRPr="002B4A51">
        <w:rPr>
          <w:rFonts w:ascii="Arial" w:hAnsi="Arial" w:cs="Arial"/>
          <w:sz w:val="24"/>
          <w:szCs w:val="24"/>
          <w:vertAlign w:val="superscript"/>
          <w:lang w:val="en-US"/>
        </w:rPr>
        <w:t>+</w:t>
      </w:r>
      <w:r w:rsidRPr="002B4A51">
        <w:rPr>
          <w:rFonts w:ascii="Arial" w:hAnsi="Arial" w:cs="Arial"/>
          <w:sz w:val="24"/>
          <w:szCs w:val="24"/>
          <w:lang w:val="en-US"/>
        </w:rPr>
        <w:t xml:space="preserve">Later in this study called Seoul Cognitive Status Test (SCST). </w:t>
      </w:r>
      <w:r w:rsidR="00EE437E" w:rsidRPr="002B4A51">
        <w:rPr>
          <w:rFonts w:ascii="Arial" w:hAnsi="Arial" w:cs="Arial"/>
          <w:sz w:val="24"/>
          <w:szCs w:val="24"/>
          <w:lang w:val="en-US"/>
        </w:rPr>
        <w:t xml:space="preserve">Abbreviations: </w:t>
      </w:r>
      <w:r w:rsidR="00910063" w:rsidRPr="002B4A51">
        <w:rPr>
          <w:rFonts w:ascii="Arial" w:hAnsi="Arial" w:cs="Arial"/>
          <w:sz w:val="24"/>
          <w:szCs w:val="24"/>
          <w:lang w:val="en-US"/>
        </w:rPr>
        <w:t xml:space="preserve">B-ALA: Battery developed at the Institute for Work, Learning and Aging (ALA) [not named by the authors, but referred to as such in this review when mentioned]; Brainlab AG; CANTAB: Cambridge Neuropsychological Test Automated Battery; CBS: Cambridge Brain Sciences Battery; CCL: Cognitive Complaint Level; CNCB: Chinese Neuropsychological Consensus Battery; CNS VS: Central Nervous System Vital Signs; C-TOC: Cognitive Testing on Computer; Creyos: Creyos Battery [formerly mCBS]; HIV: Human Immunodeficiency Virus; IntegNeuro: IntegNeuro Cognitive Test Battery; </w:t>
      </w:r>
      <w:r w:rsidR="007F1142" w:rsidRPr="002B4A51">
        <w:rPr>
          <w:rFonts w:ascii="Arial" w:hAnsi="Arial" w:cs="Arial"/>
          <w:sz w:val="24"/>
          <w:szCs w:val="24"/>
          <w:lang w:val="en-US"/>
        </w:rPr>
        <w:t xml:space="preserve">MS: multiple sclerosis; </w:t>
      </w:r>
      <w:r w:rsidR="00910063" w:rsidRPr="002B4A51">
        <w:rPr>
          <w:rFonts w:ascii="Arial" w:hAnsi="Arial" w:cs="Arial"/>
          <w:sz w:val="24"/>
          <w:szCs w:val="24"/>
          <w:lang w:val="en-US"/>
        </w:rPr>
        <w:t>NBACEtn: Neuropsychological Battery of Fundació ACE adapted for Teleneuropsychology; OSCTB: Open-Source Cognitive Test Battery [not named by the authors, but referred to as such in this review when mentioned]; PennCNB: The Penn Computerized Neurocognitive Battery</w:t>
      </w:r>
      <w:r w:rsidR="007F1142" w:rsidRPr="002B4A51">
        <w:rPr>
          <w:rFonts w:ascii="Arial" w:hAnsi="Arial" w:cs="Arial"/>
          <w:sz w:val="24"/>
          <w:szCs w:val="24"/>
          <w:lang w:val="en-US"/>
        </w:rPr>
        <w:t xml:space="preserve">; USA: United States of America. </w:t>
      </w:r>
    </w:p>
    <w:p w14:paraId="5983DCDF" w14:textId="77777777" w:rsidR="0090454E" w:rsidRPr="002B4A51" w:rsidRDefault="0090454E" w:rsidP="002B4A51">
      <w:pPr>
        <w:spacing w:after="0" w:line="360" w:lineRule="auto"/>
        <w:jc w:val="both"/>
        <w:rPr>
          <w:rFonts w:ascii="Arial" w:hAnsi="Arial" w:cs="Arial"/>
          <w:b/>
          <w:sz w:val="24"/>
          <w:szCs w:val="24"/>
          <w:lang w:val="en-US"/>
        </w:rPr>
      </w:pPr>
    </w:p>
    <w:p w14:paraId="32BD4322" w14:textId="77777777" w:rsidR="00BC6E90" w:rsidRPr="002B4A51" w:rsidRDefault="00BC6E90" w:rsidP="002B4A51">
      <w:pPr>
        <w:spacing w:after="0" w:line="360" w:lineRule="auto"/>
        <w:jc w:val="both"/>
        <w:rPr>
          <w:rFonts w:ascii="Arial" w:hAnsi="Arial" w:cs="Arial"/>
          <w:b/>
          <w:sz w:val="24"/>
          <w:szCs w:val="24"/>
          <w:lang w:val="en-US"/>
        </w:rPr>
      </w:pPr>
      <w:r w:rsidRPr="002B4A51">
        <w:rPr>
          <w:rFonts w:ascii="Arial" w:hAnsi="Arial" w:cs="Arial"/>
          <w:b/>
          <w:sz w:val="24"/>
          <w:szCs w:val="24"/>
          <w:lang w:val="en-US"/>
        </w:rPr>
        <w:br w:type="page"/>
      </w:r>
    </w:p>
    <w:p w14:paraId="21C54D50" w14:textId="6A37D636" w:rsidR="0090454E" w:rsidRPr="002B4A51" w:rsidRDefault="0090454E" w:rsidP="002B4A51">
      <w:pPr>
        <w:spacing w:after="0" w:line="360" w:lineRule="auto"/>
        <w:jc w:val="both"/>
        <w:rPr>
          <w:rFonts w:ascii="Arial" w:hAnsi="Arial" w:cs="Arial"/>
          <w:sz w:val="24"/>
          <w:szCs w:val="24"/>
          <w:lang w:val="en-US"/>
        </w:rPr>
      </w:pPr>
      <w:r w:rsidRPr="002B4A51">
        <w:rPr>
          <w:rFonts w:ascii="Arial" w:hAnsi="Arial" w:cs="Arial"/>
          <w:b/>
          <w:sz w:val="24"/>
          <w:szCs w:val="24"/>
          <w:lang w:val="en-US"/>
        </w:rPr>
        <w:t xml:space="preserve">Table </w:t>
      </w:r>
      <w:r w:rsidR="002B4A51">
        <w:rPr>
          <w:rFonts w:ascii="Arial" w:hAnsi="Arial" w:cs="Arial"/>
          <w:b/>
          <w:sz w:val="24"/>
          <w:szCs w:val="24"/>
          <w:lang w:val="en-US"/>
        </w:rPr>
        <w:t>S</w:t>
      </w:r>
      <w:r w:rsidRPr="002B4A51">
        <w:rPr>
          <w:rFonts w:ascii="Arial" w:hAnsi="Arial" w:cs="Arial"/>
          <w:b/>
          <w:sz w:val="24"/>
          <w:szCs w:val="24"/>
          <w:lang w:val="en-US"/>
        </w:rPr>
        <w:t xml:space="preserve">3. </w:t>
      </w:r>
      <w:r w:rsidRPr="002B4A51">
        <w:rPr>
          <w:rFonts w:ascii="Arial" w:hAnsi="Arial" w:cs="Arial"/>
          <w:sz w:val="24"/>
          <w:szCs w:val="24"/>
          <w:lang w:val="en-US"/>
        </w:rPr>
        <w:t>Batteries applied by the included studies (</w:t>
      </w:r>
      <w:r w:rsidRPr="002B4A51">
        <w:rPr>
          <w:rFonts w:ascii="Arial" w:hAnsi="Arial" w:cs="Arial"/>
          <w:i/>
          <w:sz w:val="24"/>
          <w:szCs w:val="24"/>
          <w:lang w:val="en-US"/>
        </w:rPr>
        <w:t xml:space="preserve">n </w:t>
      </w:r>
      <w:r w:rsidRPr="002B4A51">
        <w:rPr>
          <w:rFonts w:ascii="Arial" w:hAnsi="Arial" w:cs="Arial"/>
          <w:sz w:val="24"/>
          <w:szCs w:val="24"/>
          <w:lang w:val="en-US"/>
        </w:rPr>
        <w:t xml:space="preserve">= 42) </w:t>
      </w:r>
    </w:p>
    <w:tbl>
      <w:tblPr>
        <w:tblW w:w="5000" w:type="pct"/>
        <w:tblLook w:val="04A0" w:firstRow="1" w:lastRow="0" w:firstColumn="1" w:lastColumn="0" w:noHBand="0" w:noVBand="1"/>
      </w:tblPr>
      <w:tblGrid>
        <w:gridCol w:w="1335"/>
        <w:gridCol w:w="1123"/>
        <w:gridCol w:w="1386"/>
        <w:gridCol w:w="2714"/>
        <w:gridCol w:w="1397"/>
        <w:gridCol w:w="1260"/>
        <w:gridCol w:w="1249"/>
        <w:gridCol w:w="1745"/>
        <w:gridCol w:w="1302"/>
        <w:gridCol w:w="1080"/>
        <w:gridCol w:w="1113"/>
      </w:tblGrid>
      <w:tr w:rsidR="002C1959" w:rsidRPr="002B4A51" w14:paraId="664595EF" w14:textId="77777777" w:rsidTr="002C1959">
        <w:tc>
          <w:tcPr>
            <w:tcW w:w="417" w:type="pct"/>
            <w:tcBorders>
              <w:top w:val="single" w:sz="4" w:space="0" w:color="auto"/>
              <w:bottom w:val="single" w:sz="4" w:space="0" w:color="auto"/>
            </w:tcBorders>
          </w:tcPr>
          <w:p w14:paraId="2933C75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Battery</w:t>
            </w:r>
          </w:p>
        </w:tc>
        <w:tc>
          <w:tcPr>
            <w:tcW w:w="366" w:type="pct"/>
            <w:tcBorders>
              <w:top w:val="single" w:sz="4" w:space="0" w:color="auto"/>
              <w:bottom w:val="single" w:sz="4" w:space="0" w:color="auto"/>
            </w:tcBorders>
          </w:tcPr>
          <w:p w14:paraId="4273F15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Authors</w:t>
            </w:r>
          </w:p>
        </w:tc>
        <w:tc>
          <w:tcPr>
            <w:tcW w:w="436" w:type="pct"/>
            <w:tcBorders>
              <w:top w:val="single" w:sz="4" w:space="0" w:color="auto"/>
              <w:bottom w:val="single" w:sz="4" w:space="0" w:color="auto"/>
            </w:tcBorders>
          </w:tcPr>
          <w:p w14:paraId="74FE2CB5"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b/>
                <w:sz w:val="24"/>
                <w:szCs w:val="24"/>
              </w:rPr>
              <w:t xml:space="preserve">Cognitive screening </w:t>
            </w:r>
          </w:p>
        </w:tc>
        <w:tc>
          <w:tcPr>
            <w:tcW w:w="870" w:type="pct"/>
            <w:tcBorders>
              <w:top w:val="single" w:sz="4" w:space="0" w:color="auto"/>
              <w:bottom w:val="single" w:sz="4" w:space="0" w:color="auto"/>
            </w:tcBorders>
          </w:tcPr>
          <w:p w14:paraId="56060BF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Functions</w:t>
            </w:r>
            <w:r w:rsidRPr="002B4A51">
              <w:rPr>
                <w:rFonts w:ascii="Arial" w:hAnsi="Arial" w:cs="Arial"/>
                <w:b/>
                <w:sz w:val="24"/>
                <w:szCs w:val="24"/>
                <w:vertAlign w:val="superscript"/>
              </w:rPr>
              <w:t>*</w:t>
            </w:r>
          </w:p>
        </w:tc>
        <w:tc>
          <w:tcPr>
            <w:tcW w:w="451" w:type="pct"/>
            <w:tcBorders>
              <w:top w:val="single" w:sz="4" w:space="0" w:color="auto"/>
              <w:bottom w:val="single" w:sz="4" w:space="0" w:color="auto"/>
            </w:tcBorders>
          </w:tcPr>
          <w:p w14:paraId="4107135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b/>
                <w:sz w:val="24"/>
                <w:szCs w:val="24"/>
              </w:rPr>
              <w:t>Target examinees</w:t>
            </w:r>
            <w:r w:rsidRPr="002B4A51">
              <w:rPr>
                <w:rFonts w:ascii="Arial" w:hAnsi="Arial" w:cs="Arial"/>
                <w:b/>
                <w:sz w:val="24"/>
                <w:szCs w:val="24"/>
                <w:vertAlign w:val="superscript"/>
              </w:rPr>
              <w:t>+</w:t>
            </w:r>
          </w:p>
        </w:tc>
        <w:tc>
          <w:tcPr>
            <w:tcW w:w="407" w:type="pct"/>
            <w:tcBorders>
              <w:top w:val="single" w:sz="4" w:space="0" w:color="auto"/>
              <w:bottom w:val="single" w:sz="4" w:space="0" w:color="auto"/>
            </w:tcBorders>
          </w:tcPr>
          <w:p w14:paraId="477F0644"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b/>
                <w:sz w:val="24"/>
                <w:szCs w:val="24"/>
              </w:rPr>
              <w:t>Country of sample recruitment</w:t>
            </w:r>
          </w:p>
        </w:tc>
        <w:tc>
          <w:tcPr>
            <w:tcW w:w="388" w:type="pct"/>
            <w:tcBorders>
              <w:top w:val="single" w:sz="4" w:space="0" w:color="auto"/>
              <w:bottom w:val="single" w:sz="4" w:space="0" w:color="auto"/>
            </w:tcBorders>
          </w:tcPr>
          <w:p w14:paraId="6F2047F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Device</w:t>
            </w:r>
          </w:p>
        </w:tc>
        <w:tc>
          <w:tcPr>
            <w:tcW w:w="557" w:type="pct"/>
            <w:tcBorders>
              <w:top w:val="single" w:sz="4" w:space="0" w:color="auto"/>
              <w:bottom w:val="single" w:sz="4" w:space="0" w:color="auto"/>
            </w:tcBorders>
          </w:tcPr>
          <w:p w14:paraId="4476238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Format</w:t>
            </w:r>
          </w:p>
        </w:tc>
        <w:tc>
          <w:tcPr>
            <w:tcW w:w="411" w:type="pct"/>
            <w:tcBorders>
              <w:top w:val="single" w:sz="4" w:space="0" w:color="auto"/>
              <w:bottom w:val="single" w:sz="4" w:space="0" w:color="auto"/>
            </w:tcBorders>
          </w:tcPr>
          <w:p w14:paraId="033DC67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Instructions</w:t>
            </w:r>
          </w:p>
        </w:tc>
        <w:tc>
          <w:tcPr>
            <w:tcW w:w="344" w:type="pct"/>
            <w:tcBorders>
              <w:top w:val="single" w:sz="4" w:space="0" w:color="auto"/>
              <w:bottom w:val="single" w:sz="4" w:space="0" w:color="auto"/>
            </w:tcBorders>
          </w:tcPr>
          <w:p w14:paraId="73F4781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Answers</w:t>
            </w:r>
          </w:p>
        </w:tc>
        <w:tc>
          <w:tcPr>
            <w:tcW w:w="352" w:type="pct"/>
            <w:tcBorders>
              <w:top w:val="single" w:sz="4" w:space="0" w:color="auto"/>
              <w:bottom w:val="single" w:sz="4" w:space="0" w:color="auto"/>
            </w:tcBorders>
          </w:tcPr>
          <w:p w14:paraId="04AFB33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b/>
                <w:sz w:val="24"/>
                <w:szCs w:val="24"/>
              </w:rPr>
              <w:t>Results</w:t>
            </w:r>
          </w:p>
        </w:tc>
      </w:tr>
      <w:tr w:rsidR="002C1959" w:rsidRPr="002B4A51" w14:paraId="368BB98B" w14:textId="77777777" w:rsidTr="002C1959">
        <w:tc>
          <w:tcPr>
            <w:tcW w:w="417" w:type="pct"/>
            <w:tcBorders>
              <w:top w:val="single" w:sz="4" w:space="0" w:color="auto"/>
            </w:tcBorders>
          </w:tcPr>
          <w:p w14:paraId="1695D867"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CANTAB</w:t>
            </w:r>
          </w:p>
        </w:tc>
        <w:tc>
          <w:tcPr>
            <w:tcW w:w="366" w:type="pct"/>
            <w:tcBorders>
              <w:top w:val="single" w:sz="4" w:space="0" w:color="auto"/>
            </w:tcBorders>
          </w:tcPr>
          <w:p w14:paraId="0D9BB47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Sahakian et al. (1988)</w:t>
            </w:r>
            <w:r w:rsidRPr="002B4A51">
              <w:rPr>
                <w:rFonts w:ascii="Arial" w:hAnsi="Arial" w:cs="Arial"/>
                <w:sz w:val="24"/>
                <w:szCs w:val="24"/>
                <w:vertAlign w:val="superscript"/>
              </w:rPr>
              <w:t>83</w:t>
            </w:r>
          </w:p>
        </w:tc>
        <w:tc>
          <w:tcPr>
            <w:tcW w:w="436" w:type="pct"/>
            <w:tcBorders>
              <w:top w:val="single" w:sz="4" w:space="0" w:color="auto"/>
            </w:tcBorders>
          </w:tcPr>
          <w:p w14:paraId="296648C4"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In ND  </w:t>
            </w:r>
          </w:p>
        </w:tc>
        <w:tc>
          <w:tcPr>
            <w:tcW w:w="870" w:type="pct"/>
            <w:tcBorders>
              <w:top w:val="single" w:sz="4" w:space="0" w:color="auto"/>
            </w:tcBorders>
          </w:tcPr>
          <w:p w14:paraId="54024864"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Executive functions, verbal and visuospatial episodic memory, visuospatial working memory and emotion recognition</w:t>
            </w:r>
          </w:p>
        </w:tc>
        <w:tc>
          <w:tcPr>
            <w:tcW w:w="451" w:type="pct"/>
            <w:tcBorders>
              <w:top w:val="single" w:sz="4" w:space="0" w:color="auto"/>
            </w:tcBorders>
          </w:tcPr>
          <w:p w14:paraId="769FFF37"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Elderly with AD (72.3 ± 6.6), PD with (64.2 ± 6.8) or PD without medications (61.3 ± 6.3) (n = 12)</w:t>
            </w:r>
          </w:p>
        </w:tc>
        <w:tc>
          <w:tcPr>
            <w:tcW w:w="407" w:type="pct"/>
            <w:tcBorders>
              <w:top w:val="single" w:sz="4" w:space="0" w:color="auto"/>
            </w:tcBorders>
          </w:tcPr>
          <w:p w14:paraId="730EC77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UK  </w:t>
            </w:r>
          </w:p>
        </w:tc>
        <w:tc>
          <w:tcPr>
            <w:tcW w:w="388" w:type="pct"/>
            <w:tcBorders>
              <w:top w:val="single" w:sz="4" w:space="0" w:color="auto"/>
            </w:tcBorders>
          </w:tcPr>
          <w:p w14:paraId="1907A61C"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Computer with touchscreen</w:t>
            </w:r>
            <w:r w:rsidRPr="002B4A51">
              <w:rPr>
                <w:rFonts w:ascii="Arial" w:hAnsi="Arial" w:cs="Arial"/>
                <w:i/>
                <w:sz w:val="24"/>
                <w:szCs w:val="24"/>
              </w:rPr>
              <w:t xml:space="preserve"> </w:t>
            </w:r>
          </w:p>
        </w:tc>
        <w:tc>
          <w:tcPr>
            <w:tcW w:w="557" w:type="pct"/>
            <w:tcBorders>
              <w:top w:val="single" w:sz="4" w:space="0" w:color="auto"/>
            </w:tcBorders>
          </w:tcPr>
          <w:p w14:paraId="557C2D5A"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 xml:space="preserve">Supervised or self-administered in-person </w:t>
            </w:r>
          </w:p>
        </w:tc>
        <w:tc>
          <w:tcPr>
            <w:tcW w:w="411" w:type="pct"/>
            <w:tcBorders>
              <w:top w:val="single" w:sz="4" w:space="0" w:color="auto"/>
            </w:tcBorders>
          </w:tcPr>
          <w:p w14:paraId="17E4C3D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Narrated by software</w:t>
            </w:r>
          </w:p>
        </w:tc>
        <w:tc>
          <w:tcPr>
            <w:tcW w:w="344" w:type="pct"/>
            <w:tcBorders>
              <w:top w:val="single" w:sz="4" w:space="0" w:color="auto"/>
            </w:tcBorders>
          </w:tcPr>
          <w:p w14:paraId="3E39E965"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Manually on the device </w:t>
            </w:r>
          </w:p>
        </w:tc>
        <w:tc>
          <w:tcPr>
            <w:tcW w:w="352" w:type="pct"/>
            <w:tcBorders>
              <w:top w:val="single" w:sz="4" w:space="0" w:color="auto"/>
            </w:tcBorders>
          </w:tcPr>
          <w:p w14:paraId="4EBB9CC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35E8380F" w14:textId="77777777" w:rsidTr="002C1959">
        <w:tc>
          <w:tcPr>
            <w:tcW w:w="417" w:type="pct"/>
          </w:tcPr>
          <w:p w14:paraId="2959E67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PennCNB</w:t>
            </w:r>
          </w:p>
        </w:tc>
        <w:tc>
          <w:tcPr>
            <w:tcW w:w="366" w:type="pct"/>
          </w:tcPr>
          <w:p w14:paraId="78EBE67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Gur et al. (2001)</w:t>
            </w:r>
            <w:r w:rsidRPr="002B4A51">
              <w:rPr>
                <w:rFonts w:ascii="Arial" w:hAnsi="Arial" w:cs="Arial"/>
                <w:sz w:val="24"/>
                <w:szCs w:val="24"/>
                <w:vertAlign w:val="superscript"/>
              </w:rPr>
              <w:t>84</w:t>
            </w:r>
          </w:p>
        </w:tc>
        <w:tc>
          <w:tcPr>
            <w:tcW w:w="436" w:type="pct"/>
          </w:tcPr>
          <w:p w14:paraId="0CF5E8C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50F104D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verbal episodic memory, executive functions, fine motor skills, sensory perception and reasoning</w:t>
            </w:r>
          </w:p>
        </w:tc>
        <w:tc>
          <w:tcPr>
            <w:tcW w:w="451" w:type="pct"/>
          </w:tcPr>
          <w:p w14:paraId="4954B74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(18-54) (</w:t>
            </w:r>
            <w:r w:rsidRPr="002B4A51">
              <w:rPr>
                <w:rFonts w:ascii="Arial" w:hAnsi="Arial" w:cs="Arial"/>
                <w:i/>
                <w:sz w:val="24"/>
                <w:szCs w:val="24"/>
              </w:rPr>
              <w:t>n</w:t>
            </w:r>
            <w:r w:rsidRPr="002B4A51">
              <w:rPr>
                <w:rFonts w:ascii="Arial" w:hAnsi="Arial" w:cs="Arial"/>
                <w:sz w:val="24"/>
                <w:szCs w:val="24"/>
              </w:rPr>
              <w:t xml:space="preserve"> = 92) </w:t>
            </w:r>
          </w:p>
        </w:tc>
        <w:tc>
          <w:tcPr>
            <w:tcW w:w="407" w:type="pct"/>
          </w:tcPr>
          <w:p w14:paraId="5207F79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16B1F25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43AA939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01ED43E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Verbalized by the examiner </w:t>
            </w:r>
          </w:p>
        </w:tc>
        <w:tc>
          <w:tcPr>
            <w:tcW w:w="344" w:type="pct"/>
          </w:tcPr>
          <w:p w14:paraId="0653B1C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53D8724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7F644F3E" w14:textId="77777777" w:rsidTr="002C1959">
        <w:tc>
          <w:tcPr>
            <w:tcW w:w="417" w:type="pct"/>
          </w:tcPr>
          <w:p w14:paraId="28BB5C6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Neurotrax </w:t>
            </w:r>
          </w:p>
        </w:tc>
        <w:tc>
          <w:tcPr>
            <w:tcW w:w="366" w:type="pct"/>
          </w:tcPr>
          <w:p w14:paraId="36D3F9A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Dwolatzky et al. (2003)</w:t>
            </w:r>
            <w:r w:rsidRPr="002B4A51">
              <w:rPr>
                <w:rFonts w:ascii="Arial" w:hAnsi="Arial" w:cs="Arial"/>
                <w:sz w:val="24"/>
                <w:szCs w:val="24"/>
                <w:vertAlign w:val="superscript"/>
              </w:rPr>
              <w:t>85</w:t>
            </w:r>
          </w:p>
        </w:tc>
        <w:tc>
          <w:tcPr>
            <w:tcW w:w="436" w:type="pct"/>
          </w:tcPr>
          <w:p w14:paraId="7D1CBA7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522AD97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 motor skills, memory (verbal and nonverbal), naming, information processing, and visuospatial skills</w:t>
            </w:r>
          </w:p>
        </w:tc>
        <w:tc>
          <w:tcPr>
            <w:tcW w:w="451" w:type="pct"/>
          </w:tcPr>
          <w:p w14:paraId="50E5DA3C"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Healthy elderly (73.4 ± 8.0), with MCI (77.2 ± 6.4) and mild AD disease (80.6 ± 4.9) (</w:t>
            </w:r>
            <w:r w:rsidRPr="002B4A51">
              <w:rPr>
                <w:rFonts w:ascii="Arial" w:hAnsi="Arial" w:cs="Arial"/>
                <w:i/>
                <w:sz w:val="24"/>
                <w:szCs w:val="24"/>
                <w:lang w:val="en-US"/>
              </w:rPr>
              <w:t>n</w:t>
            </w:r>
            <w:r w:rsidRPr="002B4A51">
              <w:rPr>
                <w:rFonts w:ascii="Arial" w:hAnsi="Arial" w:cs="Arial"/>
                <w:sz w:val="24"/>
                <w:szCs w:val="24"/>
                <w:lang w:val="en-US"/>
              </w:rPr>
              <w:t xml:space="preserve"> = 38)</w:t>
            </w:r>
          </w:p>
        </w:tc>
        <w:tc>
          <w:tcPr>
            <w:tcW w:w="407" w:type="pct"/>
          </w:tcPr>
          <w:p w14:paraId="1CF2237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Israel and Canada </w:t>
            </w:r>
          </w:p>
        </w:tc>
        <w:tc>
          <w:tcPr>
            <w:tcW w:w="388" w:type="pct"/>
          </w:tcPr>
          <w:p w14:paraId="1048374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3D7D292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059FD9B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6071001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A1CBFA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77C85004" w14:textId="77777777" w:rsidTr="002C1959">
        <w:tc>
          <w:tcPr>
            <w:tcW w:w="417" w:type="pct"/>
          </w:tcPr>
          <w:p w14:paraId="46410C4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IntegNeuro</w:t>
            </w:r>
          </w:p>
        </w:tc>
        <w:tc>
          <w:tcPr>
            <w:tcW w:w="366" w:type="pct"/>
          </w:tcPr>
          <w:p w14:paraId="4880413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Paul et al. (2005)</w:t>
            </w:r>
            <w:r w:rsidRPr="002B4A51">
              <w:rPr>
                <w:rFonts w:ascii="Arial" w:hAnsi="Arial" w:cs="Arial"/>
                <w:sz w:val="24"/>
                <w:szCs w:val="24"/>
                <w:vertAlign w:val="superscript"/>
              </w:rPr>
              <w:t>86</w:t>
            </w:r>
            <w:r w:rsidRPr="002B4A51">
              <w:rPr>
                <w:rFonts w:ascii="Arial" w:hAnsi="Arial" w:cs="Arial"/>
                <w:sz w:val="24"/>
                <w:szCs w:val="24"/>
              </w:rPr>
              <w:t xml:space="preserve"> </w:t>
            </w:r>
          </w:p>
        </w:tc>
        <w:tc>
          <w:tcPr>
            <w:tcW w:w="436" w:type="pct"/>
          </w:tcPr>
          <w:p w14:paraId="7B53349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4214B17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Executive functions, attention, verbal fluency, estimated intelligence, memory and sensorimotor functions</w:t>
            </w:r>
          </w:p>
        </w:tc>
        <w:tc>
          <w:tcPr>
            <w:tcW w:w="451" w:type="pct"/>
          </w:tcPr>
          <w:p w14:paraId="2EE8CF6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and Australians (22-80) (</w:t>
            </w:r>
            <w:r w:rsidRPr="002B4A51">
              <w:rPr>
                <w:rFonts w:ascii="Arial" w:hAnsi="Arial" w:cs="Arial"/>
                <w:i/>
                <w:sz w:val="24"/>
                <w:szCs w:val="24"/>
              </w:rPr>
              <w:t>n</w:t>
            </w:r>
            <w:r w:rsidRPr="002B4A51">
              <w:rPr>
                <w:rFonts w:ascii="Arial" w:hAnsi="Arial" w:cs="Arial"/>
                <w:sz w:val="24"/>
                <w:szCs w:val="24"/>
              </w:rPr>
              <w:t xml:space="preserve"> = 50)</w:t>
            </w:r>
          </w:p>
        </w:tc>
        <w:tc>
          <w:tcPr>
            <w:tcW w:w="407" w:type="pct"/>
          </w:tcPr>
          <w:p w14:paraId="3469DD4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5C5B3A2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Computer with touchscreen</w:t>
            </w:r>
            <w:r w:rsidRPr="002B4A51">
              <w:rPr>
                <w:rFonts w:ascii="Arial" w:hAnsi="Arial" w:cs="Arial"/>
                <w:i/>
                <w:sz w:val="24"/>
                <w:szCs w:val="24"/>
              </w:rPr>
              <w:t xml:space="preserve"> </w:t>
            </w:r>
          </w:p>
        </w:tc>
        <w:tc>
          <w:tcPr>
            <w:tcW w:w="557" w:type="pct"/>
          </w:tcPr>
          <w:p w14:paraId="32D37F1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76BFEF7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3C52C56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4E6CEA1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293B1165" w14:textId="77777777" w:rsidTr="002C1959">
        <w:tc>
          <w:tcPr>
            <w:tcW w:w="417" w:type="pct"/>
          </w:tcPr>
          <w:p w14:paraId="5AB2AE8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WinSCAT</w:t>
            </w:r>
          </w:p>
        </w:tc>
        <w:tc>
          <w:tcPr>
            <w:tcW w:w="366" w:type="pct"/>
          </w:tcPr>
          <w:p w14:paraId="13DE3B4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Kane et al. (2005)</w:t>
            </w:r>
            <w:r w:rsidRPr="002B4A51">
              <w:rPr>
                <w:rFonts w:ascii="Arial" w:hAnsi="Arial" w:cs="Arial"/>
                <w:sz w:val="24"/>
                <w:szCs w:val="24"/>
                <w:vertAlign w:val="superscript"/>
              </w:rPr>
              <w:t>87</w:t>
            </w:r>
          </w:p>
        </w:tc>
        <w:tc>
          <w:tcPr>
            <w:tcW w:w="436" w:type="pct"/>
          </w:tcPr>
          <w:p w14:paraId="4F95ACA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To austronauts</w:t>
            </w:r>
          </w:p>
        </w:tc>
        <w:tc>
          <w:tcPr>
            <w:tcW w:w="870" w:type="pct"/>
          </w:tcPr>
          <w:p w14:paraId="3C0E2910"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processing speed, basic math skills, and visual and recognition memory</w:t>
            </w:r>
          </w:p>
        </w:tc>
        <w:tc>
          <w:tcPr>
            <w:tcW w:w="451" w:type="pct"/>
          </w:tcPr>
          <w:p w14:paraId="064A17D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Astronaut adults </w:t>
            </w:r>
          </w:p>
        </w:tc>
        <w:tc>
          <w:tcPr>
            <w:tcW w:w="407" w:type="pct"/>
          </w:tcPr>
          <w:p w14:paraId="6381627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75AAE3B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37EDD83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3A8B900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1720B67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5D055C0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7960BFAF" w14:textId="77777777" w:rsidTr="002C1959">
        <w:tc>
          <w:tcPr>
            <w:tcW w:w="417" w:type="pct"/>
          </w:tcPr>
          <w:p w14:paraId="5A170FD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CNS VS </w:t>
            </w:r>
          </w:p>
        </w:tc>
        <w:tc>
          <w:tcPr>
            <w:tcW w:w="366" w:type="pct"/>
          </w:tcPr>
          <w:p w14:paraId="41C7247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Gualtieri et al. (2006)</w:t>
            </w:r>
            <w:r w:rsidRPr="002B4A51">
              <w:rPr>
                <w:rFonts w:ascii="Arial" w:hAnsi="Arial" w:cs="Arial"/>
                <w:sz w:val="24"/>
                <w:szCs w:val="24"/>
                <w:vertAlign w:val="superscript"/>
              </w:rPr>
              <w:t>88</w:t>
            </w:r>
          </w:p>
        </w:tc>
        <w:tc>
          <w:tcPr>
            <w:tcW w:w="436" w:type="pct"/>
          </w:tcPr>
          <w:p w14:paraId="0FCDB02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60EBD5B5"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episodic memory and fine motor skills</w:t>
            </w:r>
          </w:p>
        </w:tc>
        <w:tc>
          <w:tcPr>
            <w:tcW w:w="451" w:type="pct"/>
          </w:tcPr>
          <w:p w14:paraId="52725F2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Individuals (7-90) (</w:t>
            </w:r>
            <w:r w:rsidRPr="002B4A51">
              <w:rPr>
                <w:rFonts w:ascii="Arial" w:hAnsi="Arial" w:cs="Arial"/>
                <w:i/>
                <w:sz w:val="24"/>
                <w:szCs w:val="24"/>
              </w:rPr>
              <w:t xml:space="preserve">n </w:t>
            </w:r>
            <w:r w:rsidRPr="002B4A51">
              <w:rPr>
                <w:rFonts w:ascii="Arial" w:hAnsi="Arial" w:cs="Arial"/>
                <w:sz w:val="24"/>
                <w:szCs w:val="24"/>
              </w:rPr>
              <w:t xml:space="preserve">= 1,969) </w:t>
            </w:r>
          </w:p>
        </w:tc>
        <w:tc>
          <w:tcPr>
            <w:tcW w:w="407" w:type="pct"/>
          </w:tcPr>
          <w:p w14:paraId="08B9A30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54AF218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5DA6DCF0"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Supervised or self-administered in-person </w:t>
            </w:r>
          </w:p>
        </w:tc>
        <w:tc>
          <w:tcPr>
            <w:tcW w:w="411" w:type="pct"/>
          </w:tcPr>
          <w:p w14:paraId="6576BE4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176F650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27832A8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31E89AED" w14:textId="77777777" w:rsidTr="002C1959">
        <w:tc>
          <w:tcPr>
            <w:tcW w:w="417" w:type="pct"/>
          </w:tcPr>
          <w:p w14:paraId="0FA689E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NeuroCog FX</w:t>
            </w:r>
          </w:p>
        </w:tc>
        <w:tc>
          <w:tcPr>
            <w:tcW w:w="366" w:type="pct"/>
          </w:tcPr>
          <w:p w14:paraId="0304F0A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Flechl et al. (2012)</w:t>
            </w:r>
            <w:r w:rsidRPr="002B4A51">
              <w:rPr>
                <w:rFonts w:ascii="Arial" w:hAnsi="Arial" w:cs="Arial"/>
                <w:sz w:val="24"/>
                <w:szCs w:val="24"/>
                <w:vertAlign w:val="superscript"/>
              </w:rPr>
              <w:t>89</w:t>
            </w:r>
          </w:p>
        </w:tc>
        <w:tc>
          <w:tcPr>
            <w:tcW w:w="436" w:type="pct"/>
          </w:tcPr>
          <w:p w14:paraId="6F90338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glioblastoma</w:t>
            </w:r>
          </w:p>
        </w:tc>
        <w:tc>
          <w:tcPr>
            <w:tcW w:w="870" w:type="pct"/>
          </w:tcPr>
          <w:p w14:paraId="0A163A4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language (verbal fluency), figural memory, verbal memory and working memory</w:t>
            </w:r>
          </w:p>
        </w:tc>
        <w:tc>
          <w:tcPr>
            <w:tcW w:w="451" w:type="pct"/>
          </w:tcPr>
          <w:p w14:paraId="11C6C46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(24-71) with glioblastoma (</w:t>
            </w:r>
            <w:r w:rsidRPr="002B4A51">
              <w:rPr>
                <w:rFonts w:ascii="Arial" w:hAnsi="Arial" w:cs="Arial"/>
                <w:i/>
                <w:sz w:val="24"/>
                <w:szCs w:val="24"/>
              </w:rPr>
              <w:t>n</w:t>
            </w:r>
            <w:r w:rsidRPr="002B4A51">
              <w:rPr>
                <w:rFonts w:ascii="Arial" w:hAnsi="Arial" w:cs="Arial"/>
                <w:sz w:val="24"/>
                <w:szCs w:val="24"/>
              </w:rPr>
              <w:t xml:space="preserve"> = 17)</w:t>
            </w:r>
          </w:p>
        </w:tc>
        <w:tc>
          <w:tcPr>
            <w:tcW w:w="407" w:type="pct"/>
          </w:tcPr>
          <w:p w14:paraId="1168B07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Austria</w:t>
            </w:r>
          </w:p>
        </w:tc>
        <w:tc>
          <w:tcPr>
            <w:tcW w:w="388" w:type="pct"/>
          </w:tcPr>
          <w:p w14:paraId="7847201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5BA7288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36CA03B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Narrated by software</w:t>
            </w:r>
          </w:p>
        </w:tc>
        <w:tc>
          <w:tcPr>
            <w:tcW w:w="344" w:type="pct"/>
          </w:tcPr>
          <w:p w14:paraId="7EFDE41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D251BC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5C0752E6" w14:textId="77777777" w:rsidTr="002C1959">
        <w:tc>
          <w:tcPr>
            <w:tcW w:w="417" w:type="pct"/>
          </w:tcPr>
          <w:p w14:paraId="438C3F3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NIH Toolbox</w:t>
            </w:r>
          </w:p>
        </w:tc>
        <w:tc>
          <w:tcPr>
            <w:tcW w:w="366" w:type="pct"/>
          </w:tcPr>
          <w:p w14:paraId="766278B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Gershon et al. (2013)</w:t>
            </w:r>
            <w:r w:rsidRPr="002B4A51">
              <w:rPr>
                <w:rFonts w:ascii="Arial" w:hAnsi="Arial" w:cs="Arial"/>
                <w:sz w:val="24"/>
                <w:szCs w:val="24"/>
                <w:vertAlign w:val="superscript"/>
              </w:rPr>
              <w:t>90</w:t>
            </w:r>
          </w:p>
        </w:tc>
        <w:tc>
          <w:tcPr>
            <w:tcW w:w="436" w:type="pct"/>
          </w:tcPr>
          <w:p w14:paraId="3ABD42B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09B46E3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Negative affect, positive affect, social support, attention, visual attention, hearing, inhibitory control and cognitive flexibility, dexterity, endurance, balance, stress and coping, muscular strength, executive function, vestibular function, language, locomotion, episodic memory, visual episodic memory, working memory, olfaction, taste, speed processing, visual speed processing, social relationships, somatosensory processing, and vision</w:t>
            </w:r>
          </w:p>
        </w:tc>
        <w:tc>
          <w:tcPr>
            <w:tcW w:w="451" w:type="pct"/>
          </w:tcPr>
          <w:p w14:paraId="69F5461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English and/or Spanish speaking adults (3-85) (</w:t>
            </w:r>
            <w:r w:rsidRPr="002B4A51">
              <w:rPr>
                <w:rFonts w:ascii="Arial" w:hAnsi="Arial" w:cs="Arial"/>
                <w:i/>
                <w:sz w:val="24"/>
                <w:szCs w:val="24"/>
                <w:lang w:val="en-US"/>
              </w:rPr>
              <w:t xml:space="preserve">n </w:t>
            </w:r>
            <w:r w:rsidRPr="002B4A51">
              <w:rPr>
                <w:rFonts w:ascii="Arial" w:hAnsi="Arial" w:cs="Arial"/>
                <w:sz w:val="24"/>
                <w:szCs w:val="24"/>
                <w:lang w:val="en-US"/>
              </w:rPr>
              <w:t>= 47)</w:t>
            </w:r>
          </w:p>
        </w:tc>
        <w:tc>
          <w:tcPr>
            <w:tcW w:w="407" w:type="pct"/>
          </w:tcPr>
          <w:p w14:paraId="018EC1D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5CAF14A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43B7D8F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7F0BEEB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Narrated by software </w:t>
            </w:r>
          </w:p>
        </w:tc>
        <w:tc>
          <w:tcPr>
            <w:tcW w:w="344" w:type="pct"/>
          </w:tcPr>
          <w:p w14:paraId="07D20B5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200AFF2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52BDF1B" w14:textId="77777777" w:rsidTr="002C1959">
        <w:tc>
          <w:tcPr>
            <w:tcW w:w="417" w:type="pct"/>
          </w:tcPr>
          <w:p w14:paraId="20043A5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Cognito</w:t>
            </w:r>
          </w:p>
        </w:tc>
        <w:tc>
          <w:tcPr>
            <w:tcW w:w="366" w:type="pct"/>
          </w:tcPr>
          <w:p w14:paraId="5D3EEDF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Ritchie et al. (2014)</w:t>
            </w:r>
            <w:r w:rsidRPr="002B4A51">
              <w:rPr>
                <w:rFonts w:ascii="Arial" w:hAnsi="Arial" w:cs="Arial"/>
                <w:sz w:val="24"/>
                <w:szCs w:val="24"/>
                <w:vertAlign w:val="superscript"/>
              </w:rPr>
              <w:t>91</w:t>
            </w:r>
          </w:p>
        </w:tc>
        <w:tc>
          <w:tcPr>
            <w:tcW w:w="436" w:type="pct"/>
          </w:tcPr>
          <w:p w14:paraId="523B750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4E051051"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(divided and focused), visuospatial skills, language (phonology, morphology, syntax, semantics, verbal fluency), memory (primary, secondary verbal, secondary visual, implicit, working), visuospatial reasoning, and reaction time</w:t>
            </w:r>
          </w:p>
        </w:tc>
        <w:tc>
          <w:tcPr>
            <w:tcW w:w="451" w:type="pct"/>
          </w:tcPr>
          <w:p w14:paraId="334FC28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French adults (51.9 ± 17.3) (</w:t>
            </w:r>
            <w:r w:rsidRPr="002B4A51">
              <w:rPr>
                <w:rFonts w:ascii="Arial" w:hAnsi="Arial" w:cs="Arial"/>
                <w:i/>
                <w:sz w:val="24"/>
                <w:szCs w:val="24"/>
              </w:rPr>
              <w:t>n</w:t>
            </w:r>
            <w:r w:rsidRPr="002B4A51">
              <w:rPr>
                <w:rFonts w:ascii="Arial" w:hAnsi="Arial" w:cs="Arial"/>
                <w:sz w:val="24"/>
                <w:szCs w:val="24"/>
              </w:rPr>
              <w:t xml:space="preserve"> = 135)</w:t>
            </w:r>
          </w:p>
        </w:tc>
        <w:tc>
          <w:tcPr>
            <w:tcW w:w="407" w:type="pct"/>
          </w:tcPr>
          <w:p w14:paraId="15E76DDF"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France </w:t>
            </w:r>
          </w:p>
        </w:tc>
        <w:tc>
          <w:tcPr>
            <w:tcW w:w="388" w:type="pct"/>
          </w:tcPr>
          <w:p w14:paraId="6A6EC4E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i/>
                <w:sz w:val="24"/>
                <w:szCs w:val="24"/>
                <w:lang w:val="en-US"/>
              </w:rPr>
              <w:t xml:space="preserve">Tablet or computer with touchscreen </w:t>
            </w:r>
          </w:p>
        </w:tc>
        <w:tc>
          <w:tcPr>
            <w:tcW w:w="557" w:type="pct"/>
          </w:tcPr>
          <w:p w14:paraId="368490E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16B8F17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Narrated by software </w:t>
            </w:r>
          </w:p>
        </w:tc>
        <w:tc>
          <w:tcPr>
            <w:tcW w:w="344" w:type="pct"/>
          </w:tcPr>
          <w:p w14:paraId="50138D5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1921FDC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157CD365" w14:textId="77777777" w:rsidTr="002C1959">
        <w:tc>
          <w:tcPr>
            <w:tcW w:w="417" w:type="pct"/>
          </w:tcPr>
          <w:p w14:paraId="7F1AB6E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NeuroScreen</w:t>
            </w:r>
          </w:p>
        </w:tc>
        <w:tc>
          <w:tcPr>
            <w:tcW w:w="366" w:type="pct"/>
          </w:tcPr>
          <w:p w14:paraId="3EE74FD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Robbins et al. (2022)</w:t>
            </w:r>
            <w:r w:rsidRPr="002B4A51">
              <w:rPr>
                <w:rFonts w:ascii="Arial" w:hAnsi="Arial" w:cs="Arial"/>
                <w:sz w:val="24"/>
                <w:szCs w:val="24"/>
                <w:vertAlign w:val="superscript"/>
              </w:rPr>
              <w:t>60</w:t>
            </w:r>
          </w:p>
        </w:tc>
        <w:tc>
          <w:tcPr>
            <w:tcW w:w="436" w:type="pct"/>
          </w:tcPr>
          <w:p w14:paraId="4AEF1DF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HIV </w:t>
            </w:r>
          </w:p>
        </w:tc>
        <w:tc>
          <w:tcPr>
            <w:tcW w:w="870" w:type="pct"/>
          </w:tcPr>
          <w:p w14:paraId="525D2FF2"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Executive functions, verbal episodic memory, fine motor skills and processing speed</w:t>
            </w:r>
          </w:p>
        </w:tc>
        <w:tc>
          <w:tcPr>
            <w:tcW w:w="451" w:type="pct"/>
          </w:tcPr>
          <w:p w14:paraId="5C053EF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(53.4 ± 7.0) HIV+ (</w:t>
            </w:r>
            <w:r w:rsidRPr="002B4A51">
              <w:rPr>
                <w:rFonts w:ascii="Arial" w:hAnsi="Arial" w:cs="Arial"/>
                <w:i/>
                <w:sz w:val="24"/>
                <w:szCs w:val="24"/>
              </w:rPr>
              <w:t>n</w:t>
            </w:r>
            <w:r w:rsidRPr="002B4A51">
              <w:rPr>
                <w:rFonts w:ascii="Arial" w:hAnsi="Arial" w:cs="Arial"/>
                <w:sz w:val="24"/>
                <w:szCs w:val="24"/>
              </w:rPr>
              <w:t xml:space="preserve"> = 50)</w:t>
            </w:r>
          </w:p>
        </w:tc>
        <w:tc>
          <w:tcPr>
            <w:tcW w:w="407" w:type="pct"/>
          </w:tcPr>
          <w:p w14:paraId="504E5536"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USA and South Africa </w:t>
            </w:r>
          </w:p>
        </w:tc>
        <w:tc>
          <w:tcPr>
            <w:tcW w:w="388" w:type="pct"/>
          </w:tcPr>
          <w:p w14:paraId="6827E8A2"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i/>
                <w:sz w:val="24"/>
                <w:szCs w:val="24"/>
              </w:rPr>
              <w:t>Smartphone</w:t>
            </w:r>
          </w:p>
        </w:tc>
        <w:tc>
          <w:tcPr>
            <w:tcW w:w="557" w:type="pct"/>
          </w:tcPr>
          <w:p w14:paraId="5E147DE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532E9B5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3E0B7BE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599D387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16C4F188" w14:textId="77777777" w:rsidTr="002C1959">
        <w:tc>
          <w:tcPr>
            <w:tcW w:w="417" w:type="pct"/>
          </w:tcPr>
          <w:p w14:paraId="70C67D5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NIH EXAMINER </w:t>
            </w:r>
          </w:p>
          <w:p w14:paraId="09C26C0A" w14:textId="77777777" w:rsidR="002C1959" w:rsidRPr="002B4A51" w:rsidRDefault="002C1959" w:rsidP="002B4A51">
            <w:pPr>
              <w:spacing w:after="0" w:line="360" w:lineRule="auto"/>
              <w:jc w:val="both"/>
              <w:rPr>
                <w:rFonts w:ascii="Arial" w:hAnsi="Arial" w:cs="Arial"/>
                <w:sz w:val="24"/>
                <w:szCs w:val="24"/>
              </w:rPr>
            </w:pPr>
          </w:p>
        </w:tc>
        <w:tc>
          <w:tcPr>
            <w:tcW w:w="366" w:type="pct"/>
          </w:tcPr>
          <w:p w14:paraId="02B7666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Kramer et al. (2014)</w:t>
            </w:r>
            <w:r w:rsidRPr="002B4A51">
              <w:rPr>
                <w:rFonts w:ascii="Arial" w:hAnsi="Arial" w:cs="Arial"/>
                <w:sz w:val="24"/>
                <w:szCs w:val="24"/>
                <w:vertAlign w:val="superscript"/>
              </w:rPr>
              <w:t>92</w:t>
            </w:r>
          </w:p>
        </w:tc>
        <w:tc>
          <w:tcPr>
            <w:tcW w:w="436" w:type="pct"/>
          </w:tcPr>
          <w:p w14:paraId="50E0E5D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5EDE7A8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Social cognition, cognitive flexibility (set shifting), verbal fluency, inhibition, insight, working memory and planning</w:t>
            </w:r>
          </w:p>
        </w:tc>
        <w:tc>
          <w:tcPr>
            <w:tcW w:w="451" w:type="pct"/>
          </w:tcPr>
          <w:p w14:paraId="181006A2"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Children and adolescents (3-17) and adults and seniors (18-94) (</w:t>
            </w:r>
            <w:r w:rsidRPr="002B4A51">
              <w:rPr>
                <w:rFonts w:ascii="Arial" w:hAnsi="Arial" w:cs="Arial"/>
                <w:i/>
                <w:sz w:val="24"/>
                <w:szCs w:val="24"/>
                <w:lang w:val="en-US"/>
              </w:rPr>
              <w:t>n</w:t>
            </w:r>
            <w:r w:rsidRPr="002B4A51">
              <w:rPr>
                <w:rFonts w:ascii="Arial" w:hAnsi="Arial" w:cs="Arial"/>
                <w:sz w:val="24"/>
                <w:szCs w:val="24"/>
                <w:lang w:val="en-US"/>
              </w:rPr>
              <w:t xml:space="preserve"> = 1,248)</w:t>
            </w:r>
          </w:p>
        </w:tc>
        <w:tc>
          <w:tcPr>
            <w:tcW w:w="407" w:type="pct"/>
          </w:tcPr>
          <w:p w14:paraId="39DB2A0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27E90D37"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Computer </w:t>
            </w:r>
          </w:p>
        </w:tc>
        <w:tc>
          <w:tcPr>
            <w:tcW w:w="557" w:type="pct"/>
          </w:tcPr>
          <w:p w14:paraId="32ACBE50"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Supervised or self-administered in-person </w:t>
            </w:r>
          </w:p>
        </w:tc>
        <w:tc>
          <w:tcPr>
            <w:tcW w:w="411" w:type="pct"/>
          </w:tcPr>
          <w:p w14:paraId="280DD9E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366D60C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1D25FD9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Calculated manually in verbal tasks or Calculated by the software in non-verbal tasks</w:t>
            </w:r>
          </w:p>
        </w:tc>
      </w:tr>
      <w:tr w:rsidR="002C1959" w:rsidRPr="002B4A51" w14:paraId="34148DFF" w14:textId="77777777" w:rsidTr="002C1959">
        <w:tc>
          <w:tcPr>
            <w:tcW w:w="417" w:type="pct"/>
          </w:tcPr>
          <w:p w14:paraId="1C72A69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CEB</w:t>
            </w:r>
          </w:p>
        </w:tc>
        <w:tc>
          <w:tcPr>
            <w:tcW w:w="366" w:type="pct"/>
          </w:tcPr>
          <w:p w14:paraId="756E449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Gordon et al. (2015)</w:t>
            </w:r>
            <w:r w:rsidRPr="002B4A51">
              <w:rPr>
                <w:rFonts w:ascii="Arial" w:hAnsi="Arial" w:cs="Arial"/>
                <w:sz w:val="24"/>
                <w:szCs w:val="24"/>
                <w:vertAlign w:val="superscript"/>
              </w:rPr>
              <w:t>20</w:t>
            </w:r>
          </w:p>
        </w:tc>
        <w:tc>
          <w:tcPr>
            <w:tcW w:w="436" w:type="pct"/>
          </w:tcPr>
          <w:p w14:paraId="224B906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47F0B1CA"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processing speed, motor coordination, executive functions and emotion identification</w:t>
            </w:r>
          </w:p>
        </w:tc>
        <w:tc>
          <w:tcPr>
            <w:tcW w:w="451" w:type="pct"/>
          </w:tcPr>
          <w:p w14:paraId="77E16673"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from five unspecified countries (18-65) (</w:t>
            </w:r>
            <w:r w:rsidRPr="002B4A51">
              <w:rPr>
                <w:rFonts w:ascii="Arial" w:hAnsi="Arial" w:cs="Arial"/>
                <w:i/>
                <w:sz w:val="24"/>
                <w:szCs w:val="24"/>
                <w:lang w:val="en-US"/>
              </w:rPr>
              <w:t xml:space="preserve">n </w:t>
            </w:r>
            <w:r w:rsidRPr="002B4A51">
              <w:rPr>
                <w:rFonts w:ascii="Arial" w:hAnsi="Arial" w:cs="Arial"/>
                <w:sz w:val="24"/>
                <w:szCs w:val="24"/>
                <w:lang w:val="en-US"/>
              </w:rPr>
              <w:t>= 1,008)</w:t>
            </w:r>
          </w:p>
        </w:tc>
        <w:tc>
          <w:tcPr>
            <w:tcW w:w="407" w:type="pct"/>
          </w:tcPr>
          <w:p w14:paraId="1D24425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NR </w:t>
            </w:r>
          </w:p>
        </w:tc>
        <w:tc>
          <w:tcPr>
            <w:tcW w:w="388" w:type="pct"/>
          </w:tcPr>
          <w:p w14:paraId="1311C12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Computer</w:t>
            </w:r>
            <w:r w:rsidRPr="002B4A51">
              <w:rPr>
                <w:rFonts w:ascii="Arial" w:hAnsi="Arial" w:cs="Arial"/>
                <w:i/>
                <w:sz w:val="24"/>
                <w:szCs w:val="24"/>
              </w:rPr>
              <w:t xml:space="preserve"> </w:t>
            </w:r>
          </w:p>
        </w:tc>
        <w:tc>
          <w:tcPr>
            <w:tcW w:w="557" w:type="pct"/>
          </w:tcPr>
          <w:p w14:paraId="2B2AA0F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1D6E3AB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NR</w:t>
            </w:r>
          </w:p>
        </w:tc>
        <w:tc>
          <w:tcPr>
            <w:tcW w:w="344" w:type="pct"/>
          </w:tcPr>
          <w:p w14:paraId="28CF322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NR</w:t>
            </w:r>
          </w:p>
        </w:tc>
        <w:tc>
          <w:tcPr>
            <w:tcW w:w="352" w:type="pct"/>
          </w:tcPr>
          <w:p w14:paraId="2FC4F54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5698DA01" w14:textId="77777777" w:rsidTr="002C1959">
        <w:tc>
          <w:tcPr>
            <w:tcW w:w="417" w:type="pct"/>
          </w:tcPr>
          <w:p w14:paraId="139830D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Cognition</w:t>
            </w:r>
          </w:p>
        </w:tc>
        <w:tc>
          <w:tcPr>
            <w:tcW w:w="366" w:type="pct"/>
          </w:tcPr>
          <w:p w14:paraId="5095E98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Basner et al. (2015)</w:t>
            </w:r>
            <w:r w:rsidRPr="002B4A51">
              <w:rPr>
                <w:rFonts w:ascii="Arial" w:hAnsi="Arial" w:cs="Arial"/>
                <w:sz w:val="24"/>
                <w:szCs w:val="24"/>
                <w:vertAlign w:val="superscript"/>
                <w:lang w:val="en-US"/>
              </w:rPr>
              <w:t>93</w:t>
            </w:r>
          </w:p>
        </w:tc>
        <w:tc>
          <w:tcPr>
            <w:tcW w:w="436" w:type="pct"/>
          </w:tcPr>
          <w:p w14:paraId="222D39A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3C08E84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memory, spatial orientation, mathematical processing, emotion recognition, abstract reasoning, visuospatial reasoning, behavioral risk, psychomotor speed and sensorimotor speed</w:t>
            </w:r>
          </w:p>
        </w:tc>
        <w:tc>
          <w:tcPr>
            <w:tcW w:w="451" w:type="pct"/>
          </w:tcPr>
          <w:p w14:paraId="3CC398E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(34-53) astronauts, astronaut candidates, or spaceflight controllers (</w:t>
            </w:r>
            <w:r w:rsidRPr="002B4A51">
              <w:rPr>
                <w:rFonts w:ascii="Arial" w:hAnsi="Arial" w:cs="Arial"/>
                <w:i/>
                <w:sz w:val="24"/>
                <w:szCs w:val="24"/>
                <w:lang w:val="en-US"/>
              </w:rPr>
              <w:t>n</w:t>
            </w:r>
            <w:r w:rsidRPr="002B4A51">
              <w:rPr>
                <w:rFonts w:ascii="Arial" w:hAnsi="Arial" w:cs="Arial"/>
                <w:sz w:val="24"/>
                <w:szCs w:val="24"/>
                <w:lang w:val="en-US"/>
              </w:rPr>
              <w:t xml:space="preserve"> = 96)</w:t>
            </w:r>
          </w:p>
        </w:tc>
        <w:tc>
          <w:tcPr>
            <w:tcW w:w="407" w:type="pct"/>
          </w:tcPr>
          <w:p w14:paraId="36CD96B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081C625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or Computer </w:t>
            </w:r>
          </w:p>
        </w:tc>
        <w:tc>
          <w:tcPr>
            <w:tcW w:w="557" w:type="pct"/>
          </w:tcPr>
          <w:p w14:paraId="43F59EB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40D696A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035EDCD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94AD8D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418F835F" w14:textId="77777777" w:rsidTr="002C1959">
        <w:tc>
          <w:tcPr>
            <w:tcW w:w="417" w:type="pct"/>
          </w:tcPr>
          <w:p w14:paraId="40F02D1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C-TOC </w:t>
            </w:r>
          </w:p>
        </w:tc>
        <w:tc>
          <w:tcPr>
            <w:tcW w:w="366" w:type="pct"/>
          </w:tcPr>
          <w:p w14:paraId="58FF4F5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Jacova et al. (2015)</w:t>
            </w:r>
            <w:r w:rsidRPr="002B4A51">
              <w:rPr>
                <w:rFonts w:ascii="Arial" w:hAnsi="Arial" w:cs="Arial"/>
                <w:sz w:val="24"/>
                <w:szCs w:val="24"/>
                <w:vertAlign w:val="superscript"/>
              </w:rPr>
              <w:t>21</w:t>
            </w:r>
          </w:p>
        </w:tc>
        <w:tc>
          <w:tcPr>
            <w:tcW w:w="436" w:type="pct"/>
          </w:tcPr>
          <w:p w14:paraId="55943B2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32AD88D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Executive functions, memory, language, processing speed and visuoconstruction</w:t>
            </w:r>
          </w:p>
        </w:tc>
        <w:tc>
          <w:tcPr>
            <w:tcW w:w="451" w:type="pct"/>
          </w:tcPr>
          <w:p w14:paraId="4667020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Healthy elderly (71.6 ± 7.1; n = 13), with MCI (73.9 ± 8.7; n = 9) or with dementia (70.6 ± 7.4; </w:t>
            </w:r>
            <w:r w:rsidRPr="002B4A51">
              <w:rPr>
                <w:rFonts w:ascii="Arial" w:hAnsi="Arial" w:cs="Arial"/>
                <w:i/>
                <w:sz w:val="24"/>
                <w:szCs w:val="24"/>
                <w:lang w:val="en-US"/>
              </w:rPr>
              <w:t>n</w:t>
            </w:r>
            <w:r w:rsidRPr="002B4A51">
              <w:rPr>
                <w:rFonts w:ascii="Arial" w:hAnsi="Arial" w:cs="Arial"/>
                <w:sz w:val="24"/>
                <w:szCs w:val="24"/>
                <w:lang w:val="en-US"/>
              </w:rPr>
              <w:t xml:space="preserve"> = 5)</w:t>
            </w:r>
          </w:p>
        </w:tc>
        <w:tc>
          <w:tcPr>
            <w:tcW w:w="407" w:type="pct"/>
          </w:tcPr>
          <w:p w14:paraId="78C6D98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Canada </w:t>
            </w:r>
          </w:p>
        </w:tc>
        <w:tc>
          <w:tcPr>
            <w:tcW w:w="388" w:type="pct"/>
          </w:tcPr>
          <w:p w14:paraId="7F9324D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4AF868F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Self-administered </w:t>
            </w:r>
          </w:p>
        </w:tc>
        <w:tc>
          <w:tcPr>
            <w:tcW w:w="411" w:type="pct"/>
          </w:tcPr>
          <w:p w14:paraId="36E00CD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 (tarefas não verbais) ou Narrated by software (verbais)</w:t>
            </w:r>
          </w:p>
        </w:tc>
        <w:tc>
          <w:tcPr>
            <w:tcW w:w="344" w:type="pct"/>
          </w:tcPr>
          <w:p w14:paraId="4C58B18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Manually on the device</w:t>
            </w:r>
          </w:p>
        </w:tc>
        <w:tc>
          <w:tcPr>
            <w:tcW w:w="352" w:type="pct"/>
          </w:tcPr>
          <w:p w14:paraId="019E53D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Calculated manually</w:t>
            </w:r>
          </w:p>
        </w:tc>
      </w:tr>
      <w:tr w:rsidR="002C1959" w:rsidRPr="002B4A51" w14:paraId="6786264D" w14:textId="77777777" w:rsidTr="002C1959">
        <w:tc>
          <w:tcPr>
            <w:tcW w:w="417" w:type="pct"/>
          </w:tcPr>
          <w:p w14:paraId="39AFA5B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PEBL</w:t>
            </w:r>
          </w:p>
        </w:tc>
        <w:tc>
          <w:tcPr>
            <w:tcW w:w="366" w:type="pct"/>
          </w:tcPr>
          <w:p w14:paraId="2276647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Piper et al. (2015)</w:t>
            </w:r>
            <w:r w:rsidRPr="002B4A51">
              <w:rPr>
                <w:rFonts w:ascii="Arial" w:hAnsi="Arial" w:cs="Arial"/>
                <w:sz w:val="24"/>
                <w:szCs w:val="24"/>
                <w:vertAlign w:val="superscript"/>
              </w:rPr>
              <w:t>28</w:t>
            </w:r>
          </w:p>
        </w:tc>
        <w:tc>
          <w:tcPr>
            <w:tcW w:w="436" w:type="pct"/>
          </w:tcPr>
          <w:p w14:paraId="32F8AEB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0952ECD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memory and executive functions</w:t>
            </w:r>
          </w:p>
        </w:tc>
        <w:tc>
          <w:tcPr>
            <w:tcW w:w="451" w:type="pct"/>
          </w:tcPr>
          <w:p w14:paraId="4D547F1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(18-22) (</w:t>
            </w:r>
            <w:r w:rsidRPr="002B4A51">
              <w:rPr>
                <w:rFonts w:ascii="Arial" w:hAnsi="Arial" w:cs="Arial"/>
                <w:i/>
                <w:sz w:val="24"/>
                <w:szCs w:val="24"/>
                <w:lang w:val="en-US"/>
              </w:rPr>
              <w:t>n</w:t>
            </w:r>
            <w:r w:rsidRPr="002B4A51">
              <w:rPr>
                <w:rFonts w:ascii="Arial" w:hAnsi="Arial" w:cs="Arial"/>
                <w:sz w:val="24"/>
                <w:szCs w:val="24"/>
                <w:lang w:val="en-US"/>
              </w:rPr>
              <w:t xml:space="preserve"> = 189 in study I and </w:t>
            </w:r>
            <w:r w:rsidRPr="002B4A51">
              <w:rPr>
                <w:rFonts w:ascii="Arial" w:hAnsi="Arial" w:cs="Arial"/>
                <w:i/>
                <w:sz w:val="24"/>
                <w:szCs w:val="24"/>
                <w:lang w:val="en-US"/>
              </w:rPr>
              <w:t>n</w:t>
            </w:r>
            <w:r w:rsidRPr="002B4A51">
              <w:rPr>
                <w:rFonts w:ascii="Arial" w:hAnsi="Arial" w:cs="Arial"/>
                <w:sz w:val="24"/>
                <w:szCs w:val="24"/>
                <w:lang w:val="en-US"/>
              </w:rPr>
              <w:t xml:space="preserve"> = 79 in study II)</w:t>
            </w:r>
          </w:p>
        </w:tc>
        <w:tc>
          <w:tcPr>
            <w:tcW w:w="407" w:type="pct"/>
          </w:tcPr>
          <w:p w14:paraId="3D9D96A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61A8C4E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2296BC0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0BB7C71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245D647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2DE4226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C065DFE" w14:textId="77777777" w:rsidTr="002C1959">
        <w:tc>
          <w:tcPr>
            <w:tcW w:w="417" w:type="pct"/>
          </w:tcPr>
          <w:p w14:paraId="20784FB6"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BCBZF </w:t>
            </w:r>
          </w:p>
        </w:tc>
        <w:tc>
          <w:tcPr>
            <w:tcW w:w="366" w:type="pct"/>
          </w:tcPr>
          <w:p w14:paraId="4296B6A2"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Zhang e Feinstein (2016)</w:t>
            </w:r>
            <w:r w:rsidRPr="002B4A51">
              <w:rPr>
                <w:rFonts w:ascii="Arial" w:hAnsi="Arial" w:cs="Arial"/>
                <w:sz w:val="24"/>
                <w:szCs w:val="24"/>
                <w:vertAlign w:val="superscript"/>
              </w:rPr>
              <w:t>30</w:t>
            </w:r>
          </w:p>
        </w:tc>
        <w:tc>
          <w:tcPr>
            <w:tcW w:w="436" w:type="pct"/>
          </w:tcPr>
          <w:p w14:paraId="2AE94390"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In TBI </w:t>
            </w:r>
          </w:p>
        </w:tc>
        <w:tc>
          <w:tcPr>
            <w:tcW w:w="870" w:type="pct"/>
          </w:tcPr>
          <w:p w14:paraId="51D1B591"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Executive functions and information processing speed</w:t>
            </w:r>
          </w:p>
        </w:tc>
        <w:tc>
          <w:tcPr>
            <w:tcW w:w="451" w:type="pct"/>
          </w:tcPr>
          <w:p w14:paraId="752F55BD"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Adults with TBI (14-62) (</w:t>
            </w:r>
            <w:r w:rsidRPr="002B4A51">
              <w:rPr>
                <w:rFonts w:ascii="Arial" w:hAnsi="Arial" w:cs="Arial"/>
                <w:i/>
                <w:sz w:val="24"/>
                <w:szCs w:val="24"/>
              </w:rPr>
              <w:t>n</w:t>
            </w:r>
            <w:r w:rsidRPr="002B4A51">
              <w:rPr>
                <w:rFonts w:ascii="Arial" w:hAnsi="Arial" w:cs="Arial"/>
                <w:sz w:val="24"/>
                <w:szCs w:val="24"/>
              </w:rPr>
              <w:t xml:space="preserve"> = 255)</w:t>
            </w:r>
          </w:p>
        </w:tc>
        <w:tc>
          <w:tcPr>
            <w:tcW w:w="407" w:type="pct"/>
          </w:tcPr>
          <w:p w14:paraId="33F91A3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Canada </w:t>
            </w:r>
          </w:p>
        </w:tc>
        <w:tc>
          <w:tcPr>
            <w:tcW w:w="388" w:type="pct"/>
          </w:tcPr>
          <w:p w14:paraId="76706342"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Computer </w:t>
            </w:r>
          </w:p>
        </w:tc>
        <w:tc>
          <w:tcPr>
            <w:tcW w:w="557" w:type="pct"/>
          </w:tcPr>
          <w:p w14:paraId="509CD7A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Supervised in-person</w:t>
            </w:r>
          </w:p>
        </w:tc>
        <w:tc>
          <w:tcPr>
            <w:tcW w:w="411" w:type="pct"/>
          </w:tcPr>
          <w:p w14:paraId="2C0A2B76"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Verbalized by the examiner</w:t>
            </w:r>
          </w:p>
        </w:tc>
        <w:tc>
          <w:tcPr>
            <w:tcW w:w="344" w:type="pct"/>
          </w:tcPr>
          <w:p w14:paraId="1D322922"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Manually on the device</w:t>
            </w:r>
          </w:p>
        </w:tc>
        <w:tc>
          <w:tcPr>
            <w:tcW w:w="352" w:type="pct"/>
          </w:tcPr>
          <w:p w14:paraId="2860B9F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72D6A3B7" w14:textId="77777777" w:rsidTr="002C1959">
        <w:tc>
          <w:tcPr>
            <w:tcW w:w="417" w:type="pct"/>
          </w:tcPr>
          <w:p w14:paraId="6B50887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NutriCog</w:t>
            </w:r>
          </w:p>
        </w:tc>
        <w:tc>
          <w:tcPr>
            <w:tcW w:w="366" w:type="pct"/>
          </w:tcPr>
          <w:p w14:paraId="0B909AC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Assmann et al. (2016)</w:t>
            </w:r>
            <w:r w:rsidRPr="002B4A51">
              <w:rPr>
                <w:rFonts w:ascii="Arial" w:hAnsi="Arial" w:cs="Arial"/>
                <w:sz w:val="24"/>
                <w:szCs w:val="24"/>
                <w:vertAlign w:val="superscript"/>
              </w:rPr>
              <w:t>24</w:t>
            </w:r>
          </w:p>
        </w:tc>
        <w:tc>
          <w:tcPr>
            <w:tcW w:w="436" w:type="pct"/>
          </w:tcPr>
          <w:p w14:paraId="458F3BE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22FAFFAA"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Selective attention, mental flexibility, inhibition, associative, episodic, working and procedural memory, visual, planning and psychomotor speed</w:t>
            </w:r>
          </w:p>
        </w:tc>
        <w:tc>
          <w:tcPr>
            <w:tcW w:w="451" w:type="pct"/>
          </w:tcPr>
          <w:p w14:paraId="122EED4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(mean 57 years, no standard deviation described) (</w:t>
            </w:r>
            <w:r w:rsidRPr="002B4A51">
              <w:rPr>
                <w:rFonts w:ascii="Arial" w:hAnsi="Arial" w:cs="Arial"/>
                <w:i/>
                <w:sz w:val="24"/>
                <w:szCs w:val="24"/>
                <w:lang w:val="en-US"/>
              </w:rPr>
              <w:t>n</w:t>
            </w:r>
            <w:r w:rsidRPr="002B4A51">
              <w:rPr>
                <w:rFonts w:ascii="Arial" w:hAnsi="Arial" w:cs="Arial"/>
                <w:sz w:val="24"/>
                <w:szCs w:val="24"/>
                <w:lang w:val="en-US"/>
              </w:rPr>
              <w:t xml:space="preserve"> = 189)</w:t>
            </w:r>
          </w:p>
        </w:tc>
        <w:tc>
          <w:tcPr>
            <w:tcW w:w="407" w:type="pct"/>
          </w:tcPr>
          <w:p w14:paraId="2D52AD4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France </w:t>
            </w:r>
          </w:p>
        </w:tc>
        <w:tc>
          <w:tcPr>
            <w:tcW w:w="388" w:type="pct"/>
          </w:tcPr>
          <w:p w14:paraId="57CED58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34E3BB72"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Supervised or self-administered in-person </w:t>
            </w:r>
          </w:p>
        </w:tc>
        <w:tc>
          <w:tcPr>
            <w:tcW w:w="411" w:type="pct"/>
          </w:tcPr>
          <w:p w14:paraId="1F9ADED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1364344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06355A0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9BC510D" w14:textId="77777777" w:rsidTr="002C1959">
        <w:tc>
          <w:tcPr>
            <w:tcW w:w="417" w:type="pct"/>
          </w:tcPr>
          <w:p w14:paraId="2F538A6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B-ALA</w:t>
            </w:r>
          </w:p>
        </w:tc>
        <w:tc>
          <w:tcPr>
            <w:tcW w:w="366" w:type="pct"/>
          </w:tcPr>
          <w:p w14:paraId="32F28DFB"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lang w:val="en-US"/>
              </w:rPr>
              <w:t>Völter et al. (2017)</w:t>
            </w:r>
            <w:r w:rsidRPr="002B4A51">
              <w:rPr>
                <w:rFonts w:ascii="Arial" w:hAnsi="Arial" w:cs="Arial"/>
                <w:sz w:val="24"/>
                <w:szCs w:val="24"/>
                <w:vertAlign w:val="superscript"/>
                <w:lang w:val="en-US"/>
              </w:rPr>
              <w:t>35</w:t>
            </w:r>
            <w:r w:rsidRPr="002B4A51">
              <w:rPr>
                <w:rFonts w:ascii="Arial" w:hAnsi="Arial" w:cs="Arial"/>
                <w:sz w:val="24"/>
                <w:szCs w:val="24"/>
                <w:lang w:val="en-US"/>
              </w:rPr>
              <w:t xml:space="preserve"> </w:t>
            </w:r>
          </w:p>
        </w:tc>
        <w:tc>
          <w:tcPr>
            <w:tcW w:w="436" w:type="pct"/>
          </w:tcPr>
          <w:p w14:paraId="1E3D9EDE"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To elders</w:t>
            </w:r>
          </w:p>
        </w:tc>
        <w:tc>
          <w:tcPr>
            <w:tcW w:w="870" w:type="pct"/>
          </w:tcPr>
          <w:p w14:paraId="3D046578"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Attention, executive functions, inhibition, short-term memory, long-term memory and working memory</w:t>
            </w:r>
          </w:p>
        </w:tc>
        <w:tc>
          <w:tcPr>
            <w:tcW w:w="451" w:type="pct"/>
          </w:tcPr>
          <w:p w14:paraId="6CB5769F"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Elderly (50-90) with moderate to severe hearing loss (</w:t>
            </w:r>
            <w:r w:rsidRPr="002B4A51">
              <w:rPr>
                <w:rFonts w:ascii="Arial" w:hAnsi="Arial" w:cs="Arial"/>
                <w:i/>
                <w:sz w:val="24"/>
                <w:szCs w:val="24"/>
                <w:lang w:val="en-US"/>
              </w:rPr>
              <w:t>n</w:t>
            </w:r>
            <w:r w:rsidRPr="002B4A51">
              <w:rPr>
                <w:rFonts w:ascii="Arial" w:hAnsi="Arial" w:cs="Arial"/>
                <w:sz w:val="24"/>
                <w:szCs w:val="24"/>
                <w:lang w:val="en-US"/>
              </w:rPr>
              <w:t xml:space="preserve"> = 120)</w:t>
            </w:r>
          </w:p>
        </w:tc>
        <w:tc>
          <w:tcPr>
            <w:tcW w:w="407" w:type="pct"/>
          </w:tcPr>
          <w:p w14:paraId="08949D4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Alemanha </w:t>
            </w:r>
          </w:p>
        </w:tc>
        <w:tc>
          <w:tcPr>
            <w:tcW w:w="388" w:type="pct"/>
          </w:tcPr>
          <w:p w14:paraId="4862C62C"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Computer with touchscreen</w:t>
            </w:r>
          </w:p>
        </w:tc>
        <w:tc>
          <w:tcPr>
            <w:tcW w:w="557" w:type="pct"/>
          </w:tcPr>
          <w:p w14:paraId="105958DC"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Supervised in-person</w:t>
            </w:r>
          </w:p>
        </w:tc>
        <w:tc>
          <w:tcPr>
            <w:tcW w:w="411" w:type="pct"/>
          </w:tcPr>
          <w:p w14:paraId="4EB29F5A"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Read on screen </w:t>
            </w:r>
          </w:p>
        </w:tc>
        <w:tc>
          <w:tcPr>
            <w:tcW w:w="344" w:type="pct"/>
          </w:tcPr>
          <w:p w14:paraId="359818B6"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Manually on the device </w:t>
            </w:r>
          </w:p>
        </w:tc>
        <w:tc>
          <w:tcPr>
            <w:tcW w:w="352" w:type="pct"/>
          </w:tcPr>
          <w:p w14:paraId="26F8CFD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NR </w:t>
            </w:r>
          </w:p>
        </w:tc>
      </w:tr>
      <w:tr w:rsidR="002C1959" w:rsidRPr="002B4A51" w14:paraId="204F68BD" w14:textId="77777777" w:rsidTr="002C1959">
        <w:tc>
          <w:tcPr>
            <w:tcW w:w="417" w:type="pct"/>
          </w:tcPr>
          <w:p w14:paraId="187E057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CBS </w:t>
            </w:r>
          </w:p>
        </w:tc>
        <w:tc>
          <w:tcPr>
            <w:tcW w:w="366" w:type="pct"/>
          </w:tcPr>
          <w:p w14:paraId="35A554D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Brenkel et al. (2017)</w:t>
            </w:r>
            <w:r w:rsidRPr="002B4A51">
              <w:rPr>
                <w:rFonts w:ascii="Arial" w:hAnsi="Arial" w:cs="Arial"/>
                <w:sz w:val="24"/>
                <w:szCs w:val="24"/>
                <w:vertAlign w:val="superscript"/>
              </w:rPr>
              <w:t>31</w:t>
            </w:r>
          </w:p>
        </w:tc>
        <w:tc>
          <w:tcPr>
            <w:tcW w:w="436" w:type="pct"/>
          </w:tcPr>
          <w:p w14:paraId="22B594E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To elders</w:t>
            </w:r>
          </w:p>
        </w:tc>
        <w:tc>
          <w:tcPr>
            <w:tcW w:w="870" w:type="pct"/>
          </w:tcPr>
          <w:p w14:paraId="2B1F1E7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short-term memory, planning and reasoning</w:t>
            </w:r>
          </w:p>
        </w:tc>
        <w:tc>
          <w:tcPr>
            <w:tcW w:w="451" w:type="pct"/>
          </w:tcPr>
          <w:p w14:paraId="63E18BC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(mean 78 years, no standard deviation described) (</w:t>
            </w:r>
            <w:r w:rsidRPr="002B4A51">
              <w:rPr>
                <w:rFonts w:ascii="Arial" w:hAnsi="Arial" w:cs="Arial"/>
                <w:i/>
                <w:sz w:val="24"/>
                <w:szCs w:val="24"/>
                <w:lang w:val="en-US"/>
              </w:rPr>
              <w:t>n</w:t>
            </w:r>
            <w:r w:rsidRPr="002B4A51">
              <w:rPr>
                <w:rFonts w:ascii="Arial" w:hAnsi="Arial" w:cs="Arial"/>
                <w:sz w:val="24"/>
                <w:szCs w:val="24"/>
                <w:lang w:val="en-US"/>
              </w:rPr>
              <w:t xml:space="preserve"> = 45)</w:t>
            </w:r>
          </w:p>
        </w:tc>
        <w:tc>
          <w:tcPr>
            <w:tcW w:w="407" w:type="pct"/>
          </w:tcPr>
          <w:p w14:paraId="5EBD5B5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Canada </w:t>
            </w:r>
          </w:p>
        </w:tc>
        <w:tc>
          <w:tcPr>
            <w:tcW w:w="388" w:type="pct"/>
          </w:tcPr>
          <w:p w14:paraId="2165FBF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607FE0A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24DA9A7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7165D19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A25F3A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5B5D165A" w14:textId="77777777" w:rsidTr="002C1959">
        <w:tc>
          <w:tcPr>
            <w:tcW w:w="417" w:type="pct"/>
          </w:tcPr>
          <w:p w14:paraId="2171DBC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CNCB </w:t>
            </w:r>
          </w:p>
        </w:tc>
        <w:tc>
          <w:tcPr>
            <w:tcW w:w="366" w:type="pct"/>
          </w:tcPr>
          <w:p w14:paraId="28090ED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Wang et al. (2019)</w:t>
            </w:r>
            <w:r w:rsidRPr="002B4A51">
              <w:rPr>
                <w:rFonts w:ascii="Arial" w:hAnsi="Arial" w:cs="Arial"/>
                <w:sz w:val="24"/>
                <w:szCs w:val="24"/>
                <w:vertAlign w:val="superscript"/>
              </w:rPr>
              <w:t>94</w:t>
            </w:r>
          </w:p>
        </w:tc>
        <w:tc>
          <w:tcPr>
            <w:tcW w:w="436" w:type="pct"/>
          </w:tcPr>
          <w:p w14:paraId="7E8B857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ND  </w:t>
            </w:r>
          </w:p>
        </w:tc>
        <w:tc>
          <w:tcPr>
            <w:tcW w:w="870" w:type="pct"/>
          </w:tcPr>
          <w:p w14:paraId="498B9F30"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social cognition, executive functions, verbal episodic memory, language and perception</w:t>
            </w:r>
          </w:p>
        </w:tc>
        <w:tc>
          <w:tcPr>
            <w:tcW w:w="451" w:type="pct"/>
          </w:tcPr>
          <w:p w14:paraId="0C66CB95"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and older adults with dementia, MCI or healthy (</w:t>
            </w:r>
            <w:r w:rsidRPr="002B4A51">
              <w:rPr>
                <w:rFonts w:ascii="Arial" w:hAnsi="Arial" w:cs="Arial"/>
                <w:i/>
                <w:sz w:val="24"/>
                <w:szCs w:val="24"/>
                <w:lang w:val="en-US"/>
              </w:rPr>
              <w:t>n</w:t>
            </w:r>
            <w:r w:rsidRPr="002B4A51">
              <w:rPr>
                <w:rFonts w:ascii="Arial" w:hAnsi="Arial" w:cs="Arial"/>
                <w:sz w:val="24"/>
                <w:szCs w:val="24"/>
                <w:lang w:val="en-US"/>
              </w:rPr>
              <w:t xml:space="preserve"> from multiple studies)</w:t>
            </w:r>
          </w:p>
        </w:tc>
        <w:tc>
          <w:tcPr>
            <w:tcW w:w="407" w:type="pct"/>
          </w:tcPr>
          <w:p w14:paraId="5E9CD01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China </w:t>
            </w:r>
          </w:p>
        </w:tc>
        <w:tc>
          <w:tcPr>
            <w:tcW w:w="388" w:type="pct"/>
          </w:tcPr>
          <w:p w14:paraId="40E9098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Tablet or computer with touchscreen </w:t>
            </w:r>
          </w:p>
        </w:tc>
        <w:tc>
          <w:tcPr>
            <w:tcW w:w="557" w:type="pct"/>
          </w:tcPr>
          <w:p w14:paraId="472073B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4302FE6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Verbalized by the examiner </w:t>
            </w:r>
          </w:p>
        </w:tc>
        <w:tc>
          <w:tcPr>
            <w:tcW w:w="344" w:type="pct"/>
          </w:tcPr>
          <w:p w14:paraId="64E5A81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596ED79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5122443A" w14:textId="77777777" w:rsidTr="002C1959">
        <w:tc>
          <w:tcPr>
            <w:tcW w:w="417" w:type="pct"/>
          </w:tcPr>
          <w:p w14:paraId="1D2F743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ONAs</w:t>
            </w:r>
          </w:p>
        </w:tc>
        <w:tc>
          <w:tcPr>
            <w:tcW w:w="366" w:type="pct"/>
          </w:tcPr>
          <w:p w14:paraId="408AC6B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Biagianti et al. (2019)</w:t>
            </w:r>
            <w:r w:rsidRPr="002B4A51">
              <w:rPr>
                <w:rFonts w:ascii="Arial" w:hAnsi="Arial" w:cs="Arial"/>
                <w:sz w:val="24"/>
                <w:szCs w:val="24"/>
                <w:vertAlign w:val="superscript"/>
              </w:rPr>
              <w:t>39</w:t>
            </w:r>
          </w:p>
        </w:tc>
        <w:tc>
          <w:tcPr>
            <w:tcW w:w="436" w:type="pct"/>
          </w:tcPr>
          <w:p w14:paraId="26F7093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schizophrenia</w:t>
            </w:r>
          </w:p>
        </w:tc>
        <w:tc>
          <w:tcPr>
            <w:tcW w:w="870" w:type="pct"/>
          </w:tcPr>
          <w:p w14:paraId="6E28700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 learning, perception and socio-affective processing</w:t>
            </w:r>
          </w:p>
        </w:tc>
        <w:tc>
          <w:tcPr>
            <w:tcW w:w="451" w:type="pct"/>
          </w:tcPr>
          <w:p w14:paraId="205F4EA2"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Healthy adults or adults with schizophrenia (16-65) (</w:t>
            </w:r>
            <w:r w:rsidRPr="002B4A51">
              <w:rPr>
                <w:rFonts w:ascii="Arial" w:hAnsi="Arial" w:cs="Arial"/>
                <w:i/>
                <w:sz w:val="24"/>
                <w:szCs w:val="24"/>
                <w:lang w:val="en-US"/>
              </w:rPr>
              <w:t xml:space="preserve">n </w:t>
            </w:r>
            <w:r w:rsidRPr="002B4A51">
              <w:rPr>
                <w:rFonts w:ascii="Arial" w:hAnsi="Arial" w:cs="Arial"/>
                <w:sz w:val="24"/>
                <w:szCs w:val="24"/>
                <w:lang w:val="en-US"/>
              </w:rPr>
              <w:t>= 391)</w:t>
            </w:r>
          </w:p>
        </w:tc>
        <w:tc>
          <w:tcPr>
            <w:tcW w:w="407" w:type="pct"/>
          </w:tcPr>
          <w:p w14:paraId="0358616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709DDAB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t>
            </w:r>
          </w:p>
        </w:tc>
        <w:tc>
          <w:tcPr>
            <w:tcW w:w="557" w:type="pct"/>
          </w:tcPr>
          <w:p w14:paraId="72DBF1E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7ADBDB8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5F825F5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2790E34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Calculated by the software</w:t>
            </w:r>
          </w:p>
        </w:tc>
      </w:tr>
      <w:tr w:rsidR="002C1959" w:rsidRPr="002B4A51" w14:paraId="369A4A55" w14:textId="77777777" w:rsidTr="002C1959">
        <w:tc>
          <w:tcPr>
            <w:tcW w:w="417" w:type="pct"/>
          </w:tcPr>
          <w:p w14:paraId="2AA03DB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CogEvo </w:t>
            </w:r>
          </w:p>
        </w:tc>
        <w:tc>
          <w:tcPr>
            <w:tcW w:w="366" w:type="pct"/>
          </w:tcPr>
          <w:p w14:paraId="606C446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Ichii et al. (2020)</w:t>
            </w:r>
            <w:r w:rsidRPr="002B4A51">
              <w:rPr>
                <w:rFonts w:ascii="Arial" w:hAnsi="Arial" w:cs="Arial"/>
                <w:sz w:val="24"/>
                <w:szCs w:val="24"/>
                <w:vertAlign w:val="superscript"/>
              </w:rPr>
              <w:t>95</w:t>
            </w:r>
          </w:p>
        </w:tc>
        <w:tc>
          <w:tcPr>
            <w:tcW w:w="436" w:type="pct"/>
          </w:tcPr>
          <w:p w14:paraId="3488589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6DBA7AE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memory, orientation and spatial cognition</w:t>
            </w:r>
          </w:p>
        </w:tc>
        <w:tc>
          <w:tcPr>
            <w:tcW w:w="451" w:type="pct"/>
          </w:tcPr>
          <w:p w14:paraId="2609F40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Elderly (40-97) (</w:t>
            </w:r>
            <w:r w:rsidRPr="002B4A51">
              <w:rPr>
                <w:rFonts w:ascii="Arial" w:hAnsi="Arial" w:cs="Arial"/>
                <w:i/>
                <w:sz w:val="24"/>
                <w:szCs w:val="24"/>
              </w:rPr>
              <w:t>n</w:t>
            </w:r>
            <w:r w:rsidRPr="002B4A51">
              <w:rPr>
                <w:rFonts w:ascii="Arial" w:hAnsi="Arial" w:cs="Arial"/>
                <w:sz w:val="24"/>
                <w:szCs w:val="24"/>
              </w:rPr>
              <w:t xml:space="preserve"> = 272)</w:t>
            </w:r>
          </w:p>
        </w:tc>
        <w:tc>
          <w:tcPr>
            <w:tcW w:w="407" w:type="pct"/>
          </w:tcPr>
          <w:p w14:paraId="66E3204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Japan</w:t>
            </w:r>
          </w:p>
        </w:tc>
        <w:tc>
          <w:tcPr>
            <w:tcW w:w="388" w:type="pct"/>
          </w:tcPr>
          <w:p w14:paraId="325A5A6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Computer with touchscreen </w:t>
            </w:r>
          </w:p>
        </w:tc>
        <w:tc>
          <w:tcPr>
            <w:tcW w:w="557" w:type="pct"/>
          </w:tcPr>
          <w:p w14:paraId="4F4AD8A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0565E06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305E743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329CF63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1EC3B652" w14:textId="77777777" w:rsidTr="002C1959">
        <w:tc>
          <w:tcPr>
            <w:tcW w:w="417" w:type="pct"/>
          </w:tcPr>
          <w:p w14:paraId="58226A5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DCTB</w:t>
            </w:r>
          </w:p>
        </w:tc>
        <w:tc>
          <w:tcPr>
            <w:tcW w:w="366" w:type="pct"/>
          </w:tcPr>
          <w:p w14:paraId="3B56155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Vermeent et al. (2020)</w:t>
            </w:r>
            <w:r w:rsidRPr="002B4A51">
              <w:rPr>
                <w:rFonts w:ascii="Arial" w:hAnsi="Arial" w:cs="Arial"/>
                <w:sz w:val="24"/>
                <w:szCs w:val="24"/>
                <w:vertAlign w:val="superscript"/>
                <w:lang w:val="en-US"/>
              </w:rPr>
              <w:t>96</w:t>
            </w:r>
          </w:p>
        </w:tc>
        <w:tc>
          <w:tcPr>
            <w:tcW w:w="436" w:type="pct"/>
          </w:tcPr>
          <w:p w14:paraId="707DC25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general</w:t>
            </w:r>
          </w:p>
        </w:tc>
        <w:tc>
          <w:tcPr>
            <w:tcW w:w="870" w:type="pct"/>
          </w:tcPr>
          <w:p w14:paraId="2395304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 working memory, processing speed, visuospatial processing, verbal fluency, learning and episodic memory</w:t>
            </w:r>
          </w:p>
        </w:tc>
        <w:tc>
          <w:tcPr>
            <w:tcW w:w="451" w:type="pct"/>
          </w:tcPr>
          <w:p w14:paraId="2D695E1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(21-81) (</w:t>
            </w:r>
            <w:r w:rsidRPr="002B4A51">
              <w:rPr>
                <w:rFonts w:ascii="Arial" w:hAnsi="Arial" w:cs="Arial"/>
                <w:i/>
                <w:sz w:val="24"/>
                <w:szCs w:val="24"/>
              </w:rPr>
              <w:t>n</w:t>
            </w:r>
            <w:r w:rsidRPr="002B4A51">
              <w:rPr>
                <w:rFonts w:ascii="Arial" w:hAnsi="Arial" w:cs="Arial"/>
                <w:sz w:val="24"/>
                <w:szCs w:val="24"/>
              </w:rPr>
              <w:t xml:space="preserve"> = 265)</w:t>
            </w:r>
          </w:p>
        </w:tc>
        <w:tc>
          <w:tcPr>
            <w:tcW w:w="407" w:type="pct"/>
          </w:tcPr>
          <w:p w14:paraId="3E4AA95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Netherlands</w:t>
            </w:r>
          </w:p>
        </w:tc>
        <w:tc>
          <w:tcPr>
            <w:tcW w:w="388" w:type="pct"/>
          </w:tcPr>
          <w:p w14:paraId="514E348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w:t>
            </w:r>
          </w:p>
        </w:tc>
        <w:tc>
          <w:tcPr>
            <w:tcW w:w="557" w:type="pct"/>
          </w:tcPr>
          <w:p w14:paraId="40432B4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6BDF96F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 (tarefas não verbais) ou Narrated by software (verbais)</w:t>
            </w:r>
          </w:p>
        </w:tc>
        <w:tc>
          <w:tcPr>
            <w:tcW w:w="344" w:type="pct"/>
          </w:tcPr>
          <w:p w14:paraId="7BAF2B3D"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0A1AB54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Calculated manually in verbal tasks or Calculated by the software in non-verbal tasks  </w:t>
            </w:r>
          </w:p>
        </w:tc>
      </w:tr>
      <w:tr w:rsidR="002C1959" w:rsidRPr="002B4A51" w14:paraId="6B815156" w14:textId="77777777" w:rsidTr="002C1959">
        <w:tc>
          <w:tcPr>
            <w:tcW w:w="417" w:type="pct"/>
          </w:tcPr>
          <w:p w14:paraId="5536383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Inbrain CST </w:t>
            </w:r>
          </w:p>
        </w:tc>
        <w:tc>
          <w:tcPr>
            <w:tcW w:w="366" w:type="pct"/>
          </w:tcPr>
          <w:p w14:paraId="1C165F75"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Chin et al. (2020)</w:t>
            </w:r>
            <w:r w:rsidRPr="002B4A51">
              <w:rPr>
                <w:rFonts w:ascii="Arial" w:hAnsi="Arial" w:cs="Arial"/>
                <w:sz w:val="24"/>
                <w:szCs w:val="24"/>
                <w:vertAlign w:val="superscript"/>
              </w:rPr>
              <w:t>45</w:t>
            </w:r>
          </w:p>
        </w:tc>
        <w:tc>
          <w:tcPr>
            <w:tcW w:w="436" w:type="pct"/>
          </w:tcPr>
          <w:p w14:paraId="2158D31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ND  </w:t>
            </w:r>
          </w:p>
        </w:tc>
        <w:tc>
          <w:tcPr>
            <w:tcW w:w="870" w:type="pct"/>
          </w:tcPr>
          <w:p w14:paraId="67A5D232"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episodic memory, language and perception</w:t>
            </w:r>
          </w:p>
        </w:tc>
        <w:tc>
          <w:tcPr>
            <w:tcW w:w="451" w:type="pct"/>
          </w:tcPr>
          <w:p w14:paraId="5F7DA9A5"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(50-90) with AD, MCI or subjective complaint, with approximately 12 years of education (76.2 ± 6.8) (</w:t>
            </w:r>
            <w:r w:rsidRPr="002B4A51">
              <w:rPr>
                <w:rFonts w:ascii="Arial" w:hAnsi="Arial" w:cs="Arial"/>
                <w:i/>
                <w:sz w:val="24"/>
                <w:szCs w:val="24"/>
                <w:lang w:val="en-US"/>
              </w:rPr>
              <w:t xml:space="preserve">n </w:t>
            </w:r>
            <w:r w:rsidRPr="002B4A51">
              <w:rPr>
                <w:rFonts w:ascii="Arial" w:hAnsi="Arial" w:cs="Arial"/>
                <w:sz w:val="24"/>
                <w:szCs w:val="24"/>
                <w:lang w:val="en-US"/>
              </w:rPr>
              <w:t>= 480)</w:t>
            </w:r>
          </w:p>
        </w:tc>
        <w:tc>
          <w:tcPr>
            <w:tcW w:w="407" w:type="pct"/>
          </w:tcPr>
          <w:p w14:paraId="72E204D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South Korea</w:t>
            </w:r>
          </w:p>
        </w:tc>
        <w:tc>
          <w:tcPr>
            <w:tcW w:w="388" w:type="pct"/>
          </w:tcPr>
          <w:p w14:paraId="63E0AD8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w:t>
            </w:r>
          </w:p>
        </w:tc>
        <w:tc>
          <w:tcPr>
            <w:tcW w:w="557" w:type="pct"/>
          </w:tcPr>
          <w:p w14:paraId="3D6D226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1ECCA80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2C56BE4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Manually on the device</w:t>
            </w:r>
          </w:p>
        </w:tc>
        <w:tc>
          <w:tcPr>
            <w:tcW w:w="352" w:type="pct"/>
          </w:tcPr>
          <w:p w14:paraId="16CE8A4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7D4164F" w14:textId="77777777" w:rsidTr="002C1959">
        <w:tc>
          <w:tcPr>
            <w:tcW w:w="417" w:type="pct"/>
          </w:tcPr>
          <w:p w14:paraId="5B1A3FC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NBACEtn</w:t>
            </w:r>
          </w:p>
        </w:tc>
        <w:tc>
          <w:tcPr>
            <w:tcW w:w="366" w:type="pct"/>
          </w:tcPr>
          <w:p w14:paraId="190ED3E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Alegret et al. (2021)</w:t>
            </w:r>
            <w:r w:rsidRPr="002B4A51">
              <w:rPr>
                <w:rFonts w:ascii="Arial" w:hAnsi="Arial" w:cs="Arial"/>
                <w:sz w:val="24"/>
                <w:szCs w:val="24"/>
                <w:vertAlign w:val="superscript"/>
              </w:rPr>
              <w:t>48</w:t>
            </w:r>
          </w:p>
        </w:tc>
        <w:tc>
          <w:tcPr>
            <w:tcW w:w="436" w:type="pct"/>
          </w:tcPr>
          <w:p w14:paraId="68E2EC8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6498BAB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memory, orientation (spatial, temporal and personal), language (verbal comprehension, naming, repetition), praxis, processing speed and visuospatial/visuoconstructive</w:t>
            </w:r>
          </w:p>
        </w:tc>
        <w:tc>
          <w:tcPr>
            <w:tcW w:w="451" w:type="pct"/>
          </w:tcPr>
          <w:p w14:paraId="523F660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(46-93) (</w:t>
            </w:r>
            <w:r w:rsidRPr="002B4A51">
              <w:rPr>
                <w:rFonts w:ascii="Arial" w:hAnsi="Arial" w:cs="Arial"/>
                <w:i/>
                <w:sz w:val="24"/>
                <w:szCs w:val="24"/>
              </w:rPr>
              <w:t>n</w:t>
            </w:r>
            <w:r w:rsidRPr="002B4A51">
              <w:rPr>
                <w:rFonts w:ascii="Arial" w:hAnsi="Arial" w:cs="Arial"/>
                <w:sz w:val="24"/>
                <w:szCs w:val="24"/>
              </w:rPr>
              <w:t xml:space="preserve"> = 8,328)</w:t>
            </w:r>
          </w:p>
        </w:tc>
        <w:tc>
          <w:tcPr>
            <w:tcW w:w="407" w:type="pct"/>
          </w:tcPr>
          <w:p w14:paraId="653AF8A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Spain</w:t>
            </w:r>
          </w:p>
        </w:tc>
        <w:tc>
          <w:tcPr>
            <w:tcW w:w="388" w:type="pct"/>
          </w:tcPr>
          <w:p w14:paraId="226323F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Tablet, smartphone or computer</w:t>
            </w:r>
          </w:p>
        </w:tc>
        <w:tc>
          <w:tcPr>
            <w:tcW w:w="557" w:type="pct"/>
          </w:tcPr>
          <w:p w14:paraId="5068BFF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remote</w:t>
            </w:r>
          </w:p>
        </w:tc>
        <w:tc>
          <w:tcPr>
            <w:tcW w:w="411" w:type="pct"/>
          </w:tcPr>
          <w:p w14:paraId="5D99F1E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Verbalized by the examiner </w:t>
            </w:r>
          </w:p>
        </w:tc>
        <w:tc>
          <w:tcPr>
            <w:tcW w:w="344" w:type="pct"/>
          </w:tcPr>
          <w:p w14:paraId="75E2E09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Shown to the camera in nonverbal tasks and verbalized in verbal tasks</w:t>
            </w:r>
          </w:p>
        </w:tc>
        <w:tc>
          <w:tcPr>
            <w:tcW w:w="352" w:type="pct"/>
          </w:tcPr>
          <w:p w14:paraId="1BCF1CB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Calculated manually</w:t>
            </w:r>
          </w:p>
        </w:tc>
      </w:tr>
      <w:tr w:rsidR="002C1959" w:rsidRPr="002B4A51" w14:paraId="1DCAAAF6" w14:textId="77777777" w:rsidTr="002C1959">
        <w:tc>
          <w:tcPr>
            <w:tcW w:w="417" w:type="pct"/>
          </w:tcPr>
          <w:p w14:paraId="6E6893D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ReVeRe.D</w:t>
            </w:r>
          </w:p>
        </w:tc>
        <w:tc>
          <w:tcPr>
            <w:tcW w:w="366" w:type="pct"/>
          </w:tcPr>
          <w:p w14:paraId="3CFD63D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Bogert et al. (2021)</w:t>
            </w:r>
            <w:r w:rsidRPr="002B4A51">
              <w:rPr>
                <w:rFonts w:ascii="Arial" w:hAnsi="Arial" w:cs="Arial"/>
                <w:sz w:val="24"/>
                <w:szCs w:val="24"/>
                <w:vertAlign w:val="superscript"/>
              </w:rPr>
              <w:t>50</w:t>
            </w:r>
          </w:p>
        </w:tc>
        <w:tc>
          <w:tcPr>
            <w:tcW w:w="436" w:type="pct"/>
          </w:tcPr>
          <w:p w14:paraId="5FEC384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depression</w:t>
            </w:r>
          </w:p>
        </w:tc>
        <w:tc>
          <w:tcPr>
            <w:tcW w:w="870" w:type="pct"/>
          </w:tcPr>
          <w:p w14:paraId="0438ABD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Executive functions and episodic memory</w:t>
            </w:r>
          </w:p>
        </w:tc>
        <w:tc>
          <w:tcPr>
            <w:tcW w:w="451" w:type="pct"/>
          </w:tcPr>
          <w:p w14:paraId="0D25A7C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(18-49) college and older (</w:t>
            </w:r>
            <w:r w:rsidRPr="002B4A51">
              <w:rPr>
                <w:rFonts w:ascii="Arial" w:hAnsi="Arial" w:cs="Arial"/>
                <w:i/>
                <w:sz w:val="24"/>
                <w:szCs w:val="24"/>
                <w:lang w:val="en-US"/>
              </w:rPr>
              <w:t>n</w:t>
            </w:r>
            <w:r w:rsidRPr="002B4A51">
              <w:rPr>
                <w:rFonts w:ascii="Arial" w:hAnsi="Arial" w:cs="Arial"/>
                <w:sz w:val="24"/>
                <w:szCs w:val="24"/>
                <w:lang w:val="en-US"/>
              </w:rPr>
              <w:t xml:space="preserve"> = 244)</w:t>
            </w:r>
          </w:p>
        </w:tc>
        <w:tc>
          <w:tcPr>
            <w:tcW w:w="407" w:type="pct"/>
          </w:tcPr>
          <w:p w14:paraId="78A2787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0BF4AB7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Tablet</w:t>
            </w:r>
          </w:p>
        </w:tc>
        <w:tc>
          <w:tcPr>
            <w:tcW w:w="557" w:type="pct"/>
          </w:tcPr>
          <w:p w14:paraId="446321F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2A1BC95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0708E88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7BCE350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7CB26D95" w14:textId="77777777" w:rsidTr="002C1959">
        <w:tc>
          <w:tcPr>
            <w:tcW w:w="417" w:type="pct"/>
          </w:tcPr>
          <w:p w14:paraId="030D54D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Brainlab AG </w:t>
            </w:r>
          </w:p>
        </w:tc>
        <w:tc>
          <w:tcPr>
            <w:tcW w:w="366" w:type="pct"/>
          </w:tcPr>
          <w:p w14:paraId="317D96A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Leemans et al. (2022)</w:t>
            </w:r>
            <w:r w:rsidRPr="002B4A51">
              <w:rPr>
                <w:rFonts w:ascii="Arial" w:hAnsi="Arial" w:cs="Arial"/>
                <w:sz w:val="24"/>
                <w:szCs w:val="24"/>
                <w:vertAlign w:val="superscript"/>
              </w:rPr>
              <w:t>57</w:t>
            </w:r>
          </w:p>
        </w:tc>
        <w:tc>
          <w:tcPr>
            <w:tcW w:w="436" w:type="pct"/>
          </w:tcPr>
          <w:p w14:paraId="3A093B8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brain metastases</w:t>
            </w:r>
          </w:p>
        </w:tc>
        <w:tc>
          <w:tcPr>
            <w:tcW w:w="870" w:type="pct"/>
          </w:tcPr>
          <w:p w14:paraId="0F3D264D"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and processing speed, memory and learning, verbal fluency, executive functions, fine motor skills</w:t>
            </w:r>
          </w:p>
        </w:tc>
        <w:tc>
          <w:tcPr>
            <w:tcW w:w="451" w:type="pct"/>
          </w:tcPr>
          <w:p w14:paraId="37F3084D"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brain metastasis (36-83) (</w:t>
            </w:r>
            <w:r w:rsidRPr="002B4A51">
              <w:rPr>
                <w:rFonts w:ascii="Arial" w:hAnsi="Arial" w:cs="Arial"/>
                <w:i/>
                <w:sz w:val="24"/>
                <w:szCs w:val="24"/>
                <w:lang w:val="en-US"/>
              </w:rPr>
              <w:t>n</w:t>
            </w:r>
            <w:r w:rsidRPr="002B4A51">
              <w:rPr>
                <w:rFonts w:ascii="Arial" w:hAnsi="Arial" w:cs="Arial"/>
                <w:sz w:val="24"/>
                <w:szCs w:val="24"/>
                <w:lang w:val="en-US"/>
              </w:rPr>
              <w:t xml:space="preserve"> = 30)</w:t>
            </w:r>
          </w:p>
        </w:tc>
        <w:tc>
          <w:tcPr>
            <w:tcW w:w="407" w:type="pct"/>
          </w:tcPr>
          <w:p w14:paraId="019251E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655C11C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w:t>
            </w:r>
          </w:p>
        </w:tc>
        <w:tc>
          <w:tcPr>
            <w:tcW w:w="557" w:type="pct"/>
          </w:tcPr>
          <w:p w14:paraId="1822245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70D8A28C"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41E0D49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949595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manually </w:t>
            </w:r>
          </w:p>
        </w:tc>
      </w:tr>
      <w:tr w:rsidR="002C1959" w:rsidRPr="002B4A51" w14:paraId="2FD1441D" w14:textId="77777777" w:rsidTr="002C1959">
        <w:tc>
          <w:tcPr>
            <w:tcW w:w="417" w:type="pct"/>
          </w:tcPr>
          <w:p w14:paraId="6422F4B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Mindmore</w:t>
            </w:r>
          </w:p>
        </w:tc>
        <w:tc>
          <w:tcPr>
            <w:tcW w:w="366" w:type="pct"/>
          </w:tcPr>
          <w:p w14:paraId="2C143AE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 xml:space="preserve">van der Hurk et al. </w:t>
            </w:r>
            <w:r w:rsidRPr="002B4A51">
              <w:rPr>
                <w:rFonts w:ascii="Arial" w:hAnsi="Arial" w:cs="Arial"/>
                <w:sz w:val="24"/>
                <w:szCs w:val="24"/>
              </w:rPr>
              <w:t>(2022)</w:t>
            </w:r>
            <w:r w:rsidRPr="002B4A51">
              <w:rPr>
                <w:rFonts w:ascii="Arial" w:hAnsi="Arial" w:cs="Arial"/>
                <w:sz w:val="24"/>
                <w:szCs w:val="24"/>
                <w:vertAlign w:val="superscript"/>
              </w:rPr>
              <w:t>61</w:t>
            </w:r>
          </w:p>
        </w:tc>
        <w:tc>
          <w:tcPr>
            <w:tcW w:w="436" w:type="pct"/>
          </w:tcPr>
          <w:p w14:paraId="1F24588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50651E1D"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and processing speed, memory, language, visuospatial functions and executive functions</w:t>
            </w:r>
          </w:p>
        </w:tc>
        <w:tc>
          <w:tcPr>
            <w:tcW w:w="451" w:type="pct"/>
          </w:tcPr>
          <w:p w14:paraId="52412E0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(17-93) (</w:t>
            </w:r>
            <w:r w:rsidRPr="002B4A51">
              <w:rPr>
                <w:rFonts w:ascii="Arial" w:hAnsi="Arial" w:cs="Arial"/>
                <w:i/>
                <w:sz w:val="24"/>
                <w:szCs w:val="24"/>
              </w:rPr>
              <w:t>n</w:t>
            </w:r>
            <w:r w:rsidRPr="002B4A51">
              <w:rPr>
                <w:rFonts w:ascii="Arial" w:hAnsi="Arial" w:cs="Arial"/>
                <w:sz w:val="24"/>
                <w:szCs w:val="24"/>
              </w:rPr>
              <w:t xml:space="preserve"> = 720) </w:t>
            </w:r>
          </w:p>
        </w:tc>
        <w:tc>
          <w:tcPr>
            <w:tcW w:w="407" w:type="pct"/>
          </w:tcPr>
          <w:p w14:paraId="298FA72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Sweden</w:t>
            </w:r>
          </w:p>
        </w:tc>
        <w:tc>
          <w:tcPr>
            <w:tcW w:w="388" w:type="pct"/>
          </w:tcPr>
          <w:p w14:paraId="070D1AA7"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i/>
                <w:sz w:val="24"/>
                <w:szCs w:val="24"/>
              </w:rPr>
              <w:t>Tablet or computer</w:t>
            </w:r>
            <w:r w:rsidRPr="002B4A51">
              <w:rPr>
                <w:rFonts w:ascii="Arial" w:hAnsi="Arial" w:cs="Arial"/>
                <w:sz w:val="24"/>
                <w:szCs w:val="24"/>
              </w:rPr>
              <w:t xml:space="preserve"> </w:t>
            </w:r>
          </w:p>
        </w:tc>
        <w:tc>
          <w:tcPr>
            <w:tcW w:w="557" w:type="pct"/>
          </w:tcPr>
          <w:p w14:paraId="1CC4401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Supervised, remote (Remote Version) or Self-administered (Tablet Version)</w:t>
            </w:r>
          </w:p>
        </w:tc>
        <w:tc>
          <w:tcPr>
            <w:tcW w:w="411" w:type="pct"/>
          </w:tcPr>
          <w:p w14:paraId="2FDAF6B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7E378DD6"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Manually on the device in nonverbal tasks and verbalized in verbal tasks</w:t>
            </w:r>
          </w:p>
        </w:tc>
        <w:tc>
          <w:tcPr>
            <w:tcW w:w="352" w:type="pct"/>
          </w:tcPr>
          <w:p w14:paraId="3449564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A0A735E" w14:textId="77777777" w:rsidTr="002C1959">
        <w:tc>
          <w:tcPr>
            <w:tcW w:w="417" w:type="pct"/>
          </w:tcPr>
          <w:p w14:paraId="0A2EE4E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NeuroUX</w:t>
            </w:r>
          </w:p>
        </w:tc>
        <w:tc>
          <w:tcPr>
            <w:tcW w:w="366" w:type="pct"/>
          </w:tcPr>
          <w:p w14:paraId="440F452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Moore et al. (2022)</w:t>
            </w:r>
            <w:r w:rsidRPr="002B4A51">
              <w:rPr>
                <w:rFonts w:ascii="Arial" w:hAnsi="Arial" w:cs="Arial"/>
                <w:sz w:val="24"/>
                <w:szCs w:val="24"/>
                <w:vertAlign w:val="superscript"/>
              </w:rPr>
              <w:t>59</w:t>
            </w:r>
          </w:p>
        </w:tc>
        <w:tc>
          <w:tcPr>
            <w:tcW w:w="436" w:type="pct"/>
          </w:tcPr>
          <w:p w14:paraId="18DC087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BD</w:t>
            </w:r>
          </w:p>
        </w:tc>
        <w:tc>
          <w:tcPr>
            <w:tcW w:w="870" w:type="pct"/>
          </w:tcPr>
          <w:p w14:paraId="4C3C776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inhibitory control, executive function, episodic memory, recognition memory, working memory, processing speed</w:t>
            </w:r>
          </w:p>
        </w:tc>
        <w:tc>
          <w:tcPr>
            <w:tcW w:w="451" w:type="pct"/>
          </w:tcPr>
          <w:p w14:paraId="46BE2FB1"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or without BD (18-65) (</w:t>
            </w:r>
            <w:r w:rsidRPr="002B4A51">
              <w:rPr>
                <w:rFonts w:ascii="Arial" w:hAnsi="Arial" w:cs="Arial"/>
                <w:i/>
                <w:sz w:val="24"/>
                <w:szCs w:val="24"/>
                <w:lang w:val="en-US"/>
              </w:rPr>
              <w:t>n</w:t>
            </w:r>
            <w:r w:rsidRPr="002B4A51">
              <w:rPr>
                <w:rFonts w:ascii="Arial" w:hAnsi="Arial" w:cs="Arial"/>
                <w:sz w:val="24"/>
                <w:szCs w:val="24"/>
                <w:lang w:val="en-US"/>
              </w:rPr>
              <w:t xml:space="preserve"> = 66)</w:t>
            </w:r>
          </w:p>
        </w:tc>
        <w:tc>
          <w:tcPr>
            <w:tcW w:w="407" w:type="pct"/>
          </w:tcPr>
          <w:p w14:paraId="093881C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57D6848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Smartphone</w:t>
            </w:r>
          </w:p>
        </w:tc>
        <w:tc>
          <w:tcPr>
            <w:tcW w:w="557" w:type="pct"/>
          </w:tcPr>
          <w:p w14:paraId="5BA730D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Supervised in-person </w:t>
            </w:r>
          </w:p>
        </w:tc>
        <w:tc>
          <w:tcPr>
            <w:tcW w:w="411" w:type="pct"/>
          </w:tcPr>
          <w:p w14:paraId="3808B2D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40C1D80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6789F41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2FC94712" w14:textId="77777777" w:rsidTr="002C1959">
        <w:tc>
          <w:tcPr>
            <w:tcW w:w="417" w:type="pct"/>
          </w:tcPr>
          <w:p w14:paraId="4DF898A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OSCT </w:t>
            </w:r>
          </w:p>
        </w:tc>
        <w:tc>
          <w:tcPr>
            <w:tcW w:w="366" w:type="pct"/>
          </w:tcPr>
          <w:p w14:paraId="5504ADF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Adolphe et al. (2022)</w:t>
            </w:r>
            <w:r w:rsidRPr="002B4A51">
              <w:rPr>
                <w:rFonts w:ascii="Arial" w:hAnsi="Arial" w:cs="Arial"/>
                <w:sz w:val="24"/>
                <w:szCs w:val="24"/>
                <w:vertAlign w:val="superscript"/>
              </w:rPr>
              <w:t>54</w:t>
            </w:r>
          </w:p>
        </w:tc>
        <w:tc>
          <w:tcPr>
            <w:tcW w:w="436" w:type="pct"/>
          </w:tcPr>
          <w:p w14:paraId="2F927CC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21CA946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Attention and working memory</w:t>
            </w:r>
          </w:p>
        </w:tc>
        <w:tc>
          <w:tcPr>
            <w:tcW w:w="451" w:type="pct"/>
          </w:tcPr>
          <w:p w14:paraId="73ACC5C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(21-71) (</w:t>
            </w:r>
            <w:r w:rsidRPr="002B4A51">
              <w:rPr>
                <w:rFonts w:ascii="Arial" w:hAnsi="Arial" w:cs="Arial"/>
                <w:i/>
                <w:sz w:val="24"/>
                <w:szCs w:val="24"/>
              </w:rPr>
              <w:t xml:space="preserve">n </w:t>
            </w:r>
            <w:r w:rsidRPr="002B4A51">
              <w:rPr>
                <w:rFonts w:ascii="Arial" w:hAnsi="Arial" w:cs="Arial"/>
                <w:sz w:val="24"/>
                <w:szCs w:val="24"/>
              </w:rPr>
              <w:t xml:space="preserve">= 50) </w:t>
            </w:r>
          </w:p>
        </w:tc>
        <w:tc>
          <w:tcPr>
            <w:tcW w:w="407" w:type="pct"/>
          </w:tcPr>
          <w:p w14:paraId="462D501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France </w:t>
            </w:r>
          </w:p>
        </w:tc>
        <w:tc>
          <w:tcPr>
            <w:tcW w:w="388" w:type="pct"/>
          </w:tcPr>
          <w:p w14:paraId="53677879"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Computer </w:t>
            </w:r>
          </w:p>
        </w:tc>
        <w:tc>
          <w:tcPr>
            <w:tcW w:w="557" w:type="pct"/>
          </w:tcPr>
          <w:p w14:paraId="4385912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761F2F4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2566B9E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70F587A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6F6EF54A" w14:textId="77777777" w:rsidTr="002C1959">
        <w:tc>
          <w:tcPr>
            <w:tcW w:w="417" w:type="pct"/>
          </w:tcPr>
          <w:p w14:paraId="57B851E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ALLFTD-mAPP</w:t>
            </w:r>
          </w:p>
        </w:tc>
        <w:tc>
          <w:tcPr>
            <w:tcW w:w="366" w:type="pct"/>
          </w:tcPr>
          <w:p w14:paraId="552B1F5A"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Taylor et al. (2023)</w:t>
            </w:r>
            <w:r w:rsidRPr="002B4A51">
              <w:rPr>
                <w:rFonts w:ascii="Arial" w:hAnsi="Arial" w:cs="Arial"/>
                <w:sz w:val="24"/>
                <w:szCs w:val="24"/>
                <w:vertAlign w:val="superscript"/>
              </w:rPr>
              <w:t>69</w:t>
            </w:r>
          </w:p>
        </w:tc>
        <w:tc>
          <w:tcPr>
            <w:tcW w:w="436" w:type="pct"/>
          </w:tcPr>
          <w:p w14:paraId="725E930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In FTD </w:t>
            </w:r>
          </w:p>
        </w:tc>
        <w:tc>
          <w:tcPr>
            <w:tcW w:w="870" w:type="pct"/>
          </w:tcPr>
          <w:p w14:paraId="313AD9B2"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Executive functions, memory, language and motor skills</w:t>
            </w:r>
          </w:p>
        </w:tc>
        <w:tc>
          <w:tcPr>
            <w:tcW w:w="451" w:type="pct"/>
          </w:tcPr>
          <w:p w14:paraId="39BE4207"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Adults with FTD (20-84) (</w:t>
            </w:r>
            <w:r w:rsidRPr="002B4A51">
              <w:rPr>
                <w:rFonts w:ascii="Arial" w:hAnsi="Arial" w:cs="Arial"/>
                <w:i/>
                <w:sz w:val="24"/>
                <w:szCs w:val="24"/>
              </w:rPr>
              <w:t>n</w:t>
            </w:r>
            <w:r w:rsidRPr="002B4A51">
              <w:rPr>
                <w:rFonts w:ascii="Arial" w:hAnsi="Arial" w:cs="Arial"/>
                <w:sz w:val="24"/>
                <w:szCs w:val="24"/>
              </w:rPr>
              <w:t xml:space="preserve"> = 214)</w:t>
            </w:r>
          </w:p>
        </w:tc>
        <w:tc>
          <w:tcPr>
            <w:tcW w:w="407" w:type="pct"/>
          </w:tcPr>
          <w:p w14:paraId="52F7E18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0A92FF56"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Smartphone </w:t>
            </w:r>
          </w:p>
        </w:tc>
        <w:tc>
          <w:tcPr>
            <w:tcW w:w="557" w:type="pct"/>
          </w:tcPr>
          <w:p w14:paraId="445A482E"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Self-administered</w:t>
            </w:r>
          </w:p>
        </w:tc>
        <w:tc>
          <w:tcPr>
            <w:tcW w:w="411" w:type="pct"/>
          </w:tcPr>
          <w:p w14:paraId="568FE08E"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Read on screen</w:t>
            </w:r>
          </w:p>
        </w:tc>
        <w:tc>
          <w:tcPr>
            <w:tcW w:w="344" w:type="pct"/>
          </w:tcPr>
          <w:p w14:paraId="68A68B3D"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Manually on the device</w:t>
            </w:r>
          </w:p>
        </w:tc>
        <w:tc>
          <w:tcPr>
            <w:tcW w:w="352" w:type="pct"/>
          </w:tcPr>
          <w:p w14:paraId="58389354"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6ED8671D" w14:textId="77777777" w:rsidTr="002C1959">
        <w:tc>
          <w:tcPr>
            <w:tcW w:w="417" w:type="pct"/>
          </w:tcPr>
          <w:p w14:paraId="0EC5090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Cogsuite </w:t>
            </w:r>
          </w:p>
        </w:tc>
        <w:tc>
          <w:tcPr>
            <w:tcW w:w="366" w:type="pct"/>
          </w:tcPr>
          <w:p w14:paraId="37F80FC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Root et al. (2023)</w:t>
            </w:r>
            <w:r w:rsidRPr="002B4A51">
              <w:rPr>
                <w:rFonts w:ascii="Arial" w:hAnsi="Arial" w:cs="Arial"/>
                <w:sz w:val="24"/>
                <w:szCs w:val="24"/>
                <w:vertAlign w:val="superscript"/>
              </w:rPr>
              <w:t>66</w:t>
            </w:r>
          </w:p>
        </w:tc>
        <w:tc>
          <w:tcPr>
            <w:tcW w:w="436" w:type="pct"/>
          </w:tcPr>
          <w:p w14:paraId="42834FD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No câncer </w:t>
            </w:r>
          </w:p>
        </w:tc>
        <w:tc>
          <w:tcPr>
            <w:tcW w:w="870" w:type="pct"/>
          </w:tcPr>
          <w:p w14:paraId="429BBF0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working memory, verbal ability, visuospatial ability, motor function and processing speed</w:t>
            </w:r>
          </w:p>
        </w:tc>
        <w:tc>
          <w:tcPr>
            <w:tcW w:w="451" w:type="pct"/>
          </w:tcPr>
          <w:p w14:paraId="6BFD59E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 (39-65) cancer survivors (</w:t>
            </w:r>
            <w:r w:rsidRPr="002B4A51">
              <w:rPr>
                <w:rFonts w:ascii="Arial" w:hAnsi="Arial" w:cs="Arial"/>
                <w:i/>
                <w:sz w:val="24"/>
                <w:szCs w:val="24"/>
              </w:rPr>
              <w:t>n</w:t>
            </w:r>
            <w:r w:rsidRPr="002B4A51">
              <w:rPr>
                <w:rFonts w:ascii="Arial" w:hAnsi="Arial" w:cs="Arial"/>
                <w:sz w:val="24"/>
                <w:szCs w:val="24"/>
              </w:rPr>
              <w:t xml:space="preserve"> = 357)</w:t>
            </w:r>
          </w:p>
        </w:tc>
        <w:tc>
          <w:tcPr>
            <w:tcW w:w="407" w:type="pct"/>
          </w:tcPr>
          <w:p w14:paraId="716E8FE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3993E93D"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Computer </w:t>
            </w:r>
          </w:p>
        </w:tc>
        <w:tc>
          <w:tcPr>
            <w:tcW w:w="557" w:type="pct"/>
          </w:tcPr>
          <w:p w14:paraId="7A678BEB"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Supervised or self-administered in-person </w:t>
            </w:r>
          </w:p>
        </w:tc>
        <w:tc>
          <w:tcPr>
            <w:tcW w:w="411" w:type="pct"/>
          </w:tcPr>
          <w:p w14:paraId="716FB08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64D321B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Manually on the device</w:t>
            </w:r>
          </w:p>
        </w:tc>
        <w:tc>
          <w:tcPr>
            <w:tcW w:w="352" w:type="pct"/>
          </w:tcPr>
          <w:p w14:paraId="12C0ABF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18FCC4AA" w14:textId="77777777" w:rsidTr="002C1959">
        <w:tc>
          <w:tcPr>
            <w:tcW w:w="417" w:type="pct"/>
          </w:tcPr>
          <w:p w14:paraId="7EF8C29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Neurotrack </w:t>
            </w:r>
          </w:p>
        </w:tc>
        <w:tc>
          <w:tcPr>
            <w:tcW w:w="366" w:type="pct"/>
          </w:tcPr>
          <w:p w14:paraId="284EDD4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Glenn et al. (2023)</w:t>
            </w:r>
            <w:r w:rsidRPr="002B4A51">
              <w:rPr>
                <w:rFonts w:ascii="Arial" w:hAnsi="Arial" w:cs="Arial"/>
                <w:sz w:val="24"/>
                <w:szCs w:val="24"/>
                <w:vertAlign w:val="superscript"/>
              </w:rPr>
              <w:t>62</w:t>
            </w:r>
          </w:p>
        </w:tc>
        <w:tc>
          <w:tcPr>
            <w:tcW w:w="436" w:type="pct"/>
          </w:tcPr>
          <w:p w14:paraId="748B90F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ND  </w:t>
            </w:r>
          </w:p>
        </w:tc>
        <w:tc>
          <w:tcPr>
            <w:tcW w:w="870" w:type="pct"/>
          </w:tcPr>
          <w:p w14:paraId="2945E31F"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Visual recognition memory, processing speed, executive function and learning</w:t>
            </w:r>
          </w:p>
        </w:tc>
        <w:tc>
          <w:tcPr>
            <w:tcW w:w="451" w:type="pct"/>
          </w:tcPr>
          <w:p w14:paraId="7926F280"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individuals with (77.5 ± 6.6) or without (72.7 ± 7.5) AD (</w:t>
            </w:r>
            <w:r w:rsidRPr="002B4A51">
              <w:rPr>
                <w:rFonts w:ascii="Arial" w:hAnsi="Arial" w:cs="Arial"/>
                <w:i/>
                <w:sz w:val="24"/>
                <w:szCs w:val="24"/>
                <w:lang w:val="en-US"/>
              </w:rPr>
              <w:t xml:space="preserve">n </w:t>
            </w:r>
            <w:r w:rsidRPr="002B4A51">
              <w:rPr>
                <w:rFonts w:ascii="Arial" w:hAnsi="Arial" w:cs="Arial"/>
                <w:sz w:val="24"/>
                <w:szCs w:val="24"/>
                <w:lang w:val="en-US"/>
              </w:rPr>
              <w:t>= 75)</w:t>
            </w:r>
          </w:p>
        </w:tc>
        <w:tc>
          <w:tcPr>
            <w:tcW w:w="407" w:type="pct"/>
          </w:tcPr>
          <w:p w14:paraId="66321B5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Japan</w:t>
            </w:r>
          </w:p>
        </w:tc>
        <w:tc>
          <w:tcPr>
            <w:tcW w:w="388" w:type="pct"/>
          </w:tcPr>
          <w:p w14:paraId="2B4F1EB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Tablet</w:t>
            </w:r>
          </w:p>
        </w:tc>
        <w:tc>
          <w:tcPr>
            <w:tcW w:w="557" w:type="pct"/>
          </w:tcPr>
          <w:p w14:paraId="1559101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14CC21F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Pr>
          <w:p w14:paraId="7640F7F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Manually on the device and, in one task, eye tracking</w:t>
            </w:r>
          </w:p>
        </w:tc>
        <w:tc>
          <w:tcPr>
            <w:tcW w:w="352" w:type="pct"/>
          </w:tcPr>
          <w:p w14:paraId="3575D81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6A2807AF" w14:textId="77777777" w:rsidTr="002C1959">
        <w:tc>
          <w:tcPr>
            <w:tcW w:w="417" w:type="pct"/>
          </w:tcPr>
          <w:p w14:paraId="34115C4A"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BOCAS </w:t>
            </w:r>
          </w:p>
        </w:tc>
        <w:tc>
          <w:tcPr>
            <w:tcW w:w="366" w:type="pct"/>
          </w:tcPr>
          <w:p w14:paraId="190E5502"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Pan et al. (2024)</w:t>
            </w:r>
            <w:r w:rsidRPr="002B4A51">
              <w:rPr>
                <w:rFonts w:ascii="Arial" w:hAnsi="Arial" w:cs="Arial"/>
                <w:sz w:val="24"/>
                <w:szCs w:val="24"/>
                <w:vertAlign w:val="superscript"/>
              </w:rPr>
              <w:t>75</w:t>
            </w:r>
          </w:p>
        </w:tc>
        <w:tc>
          <w:tcPr>
            <w:tcW w:w="436" w:type="pct"/>
          </w:tcPr>
          <w:p w14:paraId="55DFE43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In general</w:t>
            </w:r>
          </w:p>
        </w:tc>
        <w:tc>
          <w:tcPr>
            <w:tcW w:w="870" w:type="pct"/>
          </w:tcPr>
          <w:p w14:paraId="09425465"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Sustained attention, cognitive flexibility, sensorimotor skills, working memory, spatial navigation and processing speed</w:t>
            </w:r>
          </w:p>
        </w:tc>
        <w:tc>
          <w:tcPr>
            <w:tcW w:w="451" w:type="pct"/>
          </w:tcPr>
          <w:p w14:paraId="50AC4E54"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Adults (18-40) (</w:t>
            </w:r>
            <w:r w:rsidRPr="002B4A51">
              <w:rPr>
                <w:rFonts w:ascii="Arial" w:hAnsi="Arial" w:cs="Arial"/>
                <w:i/>
                <w:sz w:val="24"/>
                <w:szCs w:val="24"/>
              </w:rPr>
              <w:t>n</w:t>
            </w:r>
            <w:r w:rsidRPr="002B4A51">
              <w:rPr>
                <w:rFonts w:ascii="Arial" w:hAnsi="Arial" w:cs="Arial"/>
                <w:sz w:val="24"/>
                <w:szCs w:val="24"/>
              </w:rPr>
              <w:t xml:space="preserve"> = 151)</w:t>
            </w:r>
          </w:p>
        </w:tc>
        <w:tc>
          <w:tcPr>
            <w:tcW w:w="407" w:type="pct"/>
          </w:tcPr>
          <w:p w14:paraId="7D45C9B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China </w:t>
            </w:r>
          </w:p>
        </w:tc>
        <w:tc>
          <w:tcPr>
            <w:tcW w:w="388" w:type="pct"/>
          </w:tcPr>
          <w:p w14:paraId="7958BCE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Tablet </w:t>
            </w:r>
          </w:p>
        </w:tc>
        <w:tc>
          <w:tcPr>
            <w:tcW w:w="557" w:type="pct"/>
          </w:tcPr>
          <w:p w14:paraId="5C54167A"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Supervised in-person</w:t>
            </w:r>
          </w:p>
        </w:tc>
        <w:tc>
          <w:tcPr>
            <w:tcW w:w="411" w:type="pct"/>
          </w:tcPr>
          <w:p w14:paraId="20EF2C7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Read on screen </w:t>
            </w:r>
          </w:p>
        </w:tc>
        <w:tc>
          <w:tcPr>
            <w:tcW w:w="344" w:type="pct"/>
          </w:tcPr>
          <w:p w14:paraId="1289015C"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Manually on the device</w:t>
            </w:r>
          </w:p>
        </w:tc>
        <w:tc>
          <w:tcPr>
            <w:tcW w:w="352" w:type="pct"/>
          </w:tcPr>
          <w:p w14:paraId="2D05E82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78B3BA42" w14:textId="77777777" w:rsidTr="002C1959">
        <w:tc>
          <w:tcPr>
            <w:tcW w:w="417" w:type="pct"/>
          </w:tcPr>
          <w:p w14:paraId="1CBBB39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CCAB</w:t>
            </w:r>
          </w:p>
        </w:tc>
        <w:tc>
          <w:tcPr>
            <w:tcW w:w="366" w:type="pct"/>
          </w:tcPr>
          <w:p w14:paraId="67E69594"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Woods et al. (2024)</w:t>
            </w:r>
            <w:r w:rsidRPr="002B4A51">
              <w:rPr>
                <w:rFonts w:ascii="Arial" w:hAnsi="Arial" w:cs="Arial"/>
                <w:sz w:val="24"/>
                <w:szCs w:val="24"/>
                <w:vertAlign w:val="superscript"/>
              </w:rPr>
              <w:t>79</w:t>
            </w:r>
          </w:p>
        </w:tc>
        <w:tc>
          <w:tcPr>
            <w:tcW w:w="436" w:type="pct"/>
          </w:tcPr>
          <w:p w14:paraId="14053F29"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In general </w:t>
            </w:r>
          </w:p>
        </w:tc>
        <w:tc>
          <w:tcPr>
            <w:tcW w:w="870" w:type="pct"/>
          </w:tcPr>
          <w:p w14:paraId="2854CD0E"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Attention, executive functions, visuospatial skills, language, memory and processing speed</w:t>
            </w:r>
          </w:p>
        </w:tc>
        <w:tc>
          <w:tcPr>
            <w:tcW w:w="451" w:type="pct"/>
          </w:tcPr>
          <w:p w14:paraId="584B5EA9"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Elderly (50-89) (</w:t>
            </w:r>
            <w:r w:rsidRPr="002B4A51">
              <w:rPr>
                <w:rFonts w:ascii="Arial" w:hAnsi="Arial" w:cs="Arial"/>
                <w:i/>
                <w:sz w:val="24"/>
                <w:szCs w:val="24"/>
              </w:rPr>
              <w:t>n</w:t>
            </w:r>
            <w:r w:rsidRPr="002B4A51">
              <w:rPr>
                <w:rFonts w:ascii="Arial" w:hAnsi="Arial" w:cs="Arial"/>
                <w:sz w:val="24"/>
                <w:szCs w:val="24"/>
              </w:rPr>
              <w:t xml:space="preserve"> = 415) </w:t>
            </w:r>
          </w:p>
        </w:tc>
        <w:tc>
          <w:tcPr>
            <w:tcW w:w="407" w:type="pct"/>
          </w:tcPr>
          <w:p w14:paraId="5E7B6BA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USA </w:t>
            </w:r>
          </w:p>
        </w:tc>
        <w:tc>
          <w:tcPr>
            <w:tcW w:w="388" w:type="pct"/>
          </w:tcPr>
          <w:p w14:paraId="3FDE0C4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Tablet </w:t>
            </w:r>
          </w:p>
        </w:tc>
        <w:tc>
          <w:tcPr>
            <w:tcW w:w="557" w:type="pct"/>
          </w:tcPr>
          <w:p w14:paraId="448B0B57"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Supervised in-person  </w:t>
            </w:r>
          </w:p>
        </w:tc>
        <w:tc>
          <w:tcPr>
            <w:tcW w:w="411" w:type="pct"/>
          </w:tcPr>
          <w:p w14:paraId="253EDDE0"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Narrated by software</w:t>
            </w:r>
          </w:p>
        </w:tc>
        <w:tc>
          <w:tcPr>
            <w:tcW w:w="344" w:type="pct"/>
          </w:tcPr>
          <w:p w14:paraId="77D2A8F9"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67A9470D"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5006D511" w14:textId="77777777" w:rsidTr="002C1959">
        <w:tc>
          <w:tcPr>
            <w:tcW w:w="417" w:type="pct"/>
          </w:tcPr>
          <w:p w14:paraId="21FD5F4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CNBC </w:t>
            </w:r>
          </w:p>
        </w:tc>
        <w:tc>
          <w:tcPr>
            <w:tcW w:w="366" w:type="pct"/>
          </w:tcPr>
          <w:p w14:paraId="103BFC0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Zhang et al. (2024)</w:t>
            </w:r>
            <w:r w:rsidRPr="002B4A51">
              <w:rPr>
                <w:rFonts w:ascii="Arial" w:hAnsi="Arial" w:cs="Arial"/>
                <w:sz w:val="24"/>
                <w:szCs w:val="24"/>
                <w:vertAlign w:val="superscript"/>
                <w:lang w:val="en-US"/>
              </w:rPr>
              <w:t>80</w:t>
            </w:r>
          </w:p>
        </w:tc>
        <w:tc>
          <w:tcPr>
            <w:tcW w:w="436" w:type="pct"/>
          </w:tcPr>
          <w:p w14:paraId="68409A5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116D065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 episodic memory and visuospatial skills</w:t>
            </w:r>
          </w:p>
        </w:tc>
        <w:tc>
          <w:tcPr>
            <w:tcW w:w="451" w:type="pct"/>
          </w:tcPr>
          <w:p w14:paraId="1E992D8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Elderly (51-86) (</w:t>
            </w:r>
            <w:r w:rsidRPr="002B4A51">
              <w:rPr>
                <w:rFonts w:ascii="Arial" w:hAnsi="Arial" w:cs="Arial"/>
                <w:i/>
                <w:sz w:val="24"/>
                <w:szCs w:val="24"/>
              </w:rPr>
              <w:t>n</w:t>
            </w:r>
            <w:r w:rsidRPr="002B4A51">
              <w:rPr>
                <w:rFonts w:ascii="Arial" w:hAnsi="Arial" w:cs="Arial"/>
                <w:sz w:val="24"/>
                <w:szCs w:val="24"/>
              </w:rPr>
              <w:t xml:space="preserve"> = 86) </w:t>
            </w:r>
          </w:p>
        </w:tc>
        <w:tc>
          <w:tcPr>
            <w:tcW w:w="407" w:type="pct"/>
          </w:tcPr>
          <w:p w14:paraId="7575039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China </w:t>
            </w:r>
          </w:p>
        </w:tc>
        <w:tc>
          <w:tcPr>
            <w:tcW w:w="388" w:type="pct"/>
          </w:tcPr>
          <w:p w14:paraId="25178662"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Computer </w:t>
            </w:r>
          </w:p>
        </w:tc>
        <w:tc>
          <w:tcPr>
            <w:tcW w:w="557" w:type="pct"/>
          </w:tcPr>
          <w:p w14:paraId="128B1ED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Self-administered</w:t>
            </w:r>
          </w:p>
        </w:tc>
        <w:tc>
          <w:tcPr>
            <w:tcW w:w="411" w:type="pct"/>
          </w:tcPr>
          <w:p w14:paraId="7E2BE623"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7528D57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3A91D66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03BDD5C0" w14:textId="77777777" w:rsidTr="002C1959">
        <w:tc>
          <w:tcPr>
            <w:tcW w:w="417" w:type="pct"/>
          </w:tcPr>
          <w:p w14:paraId="3128C9B7"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CogState  </w:t>
            </w:r>
          </w:p>
        </w:tc>
        <w:tc>
          <w:tcPr>
            <w:tcW w:w="366" w:type="pct"/>
          </w:tcPr>
          <w:p w14:paraId="04CF3179"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CogState (2024)</w:t>
            </w:r>
            <w:r w:rsidRPr="002B4A51">
              <w:rPr>
                <w:rFonts w:ascii="Arial" w:hAnsi="Arial" w:cs="Arial"/>
                <w:sz w:val="24"/>
                <w:szCs w:val="24"/>
                <w:vertAlign w:val="superscript"/>
              </w:rPr>
              <w:t>§, 97</w:t>
            </w:r>
          </w:p>
        </w:tc>
        <w:tc>
          <w:tcPr>
            <w:tcW w:w="436" w:type="pct"/>
          </w:tcPr>
          <w:p w14:paraId="1BA9A715"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In general </w:t>
            </w:r>
          </w:p>
        </w:tc>
        <w:tc>
          <w:tcPr>
            <w:tcW w:w="870" w:type="pct"/>
          </w:tcPr>
          <w:p w14:paraId="567B85FA"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Attention, social cognition, executive functions, working memory, visual and verbal memory, and processing speed</w:t>
            </w:r>
          </w:p>
        </w:tc>
        <w:tc>
          <w:tcPr>
            <w:tcW w:w="451" w:type="pct"/>
          </w:tcPr>
          <w:p w14:paraId="5BCFAE3F" w14:textId="77777777" w:rsidR="002C1959" w:rsidRPr="002B4A51" w:rsidRDefault="002C1959" w:rsidP="002B4A51">
            <w:pPr>
              <w:spacing w:after="0" w:line="360" w:lineRule="auto"/>
              <w:jc w:val="both"/>
              <w:rPr>
                <w:rFonts w:ascii="Arial" w:hAnsi="Arial" w:cs="Arial"/>
                <w:b/>
                <w:sz w:val="24"/>
                <w:szCs w:val="24"/>
                <w:lang w:val="en-US"/>
              </w:rPr>
            </w:pPr>
            <w:r w:rsidRPr="002B4A51">
              <w:rPr>
                <w:rFonts w:ascii="Arial" w:hAnsi="Arial" w:cs="Arial"/>
                <w:sz w:val="24"/>
                <w:szCs w:val="24"/>
                <w:lang w:val="en-US"/>
              </w:rPr>
              <w:t>Initially, indigenous Australian populations (age NR)</w:t>
            </w:r>
          </w:p>
        </w:tc>
        <w:tc>
          <w:tcPr>
            <w:tcW w:w="407" w:type="pct"/>
          </w:tcPr>
          <w:p w14:paraId="495C8C5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Australia</w:t>
            </w:r>
          </w:p>
        </w:tc>
        <w:tc>
          <w:tcPr>
            <w:tcW w:w="388" w:type="pct"/>
          </w:tcPr>
          <w:p w14:paraId="7E80BD31"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Tablet, smartphone or computer </w:t>
            </w:r>
          </w:p>
        </w:tc>
        <w:tc>
          <w:tcPr>
            <w:tcW w:w="557" w:type="pct"/>
          </w:tcPr>
          <w:p w14:paraId="2BE70DF8"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Self-administered </w:t>
            </w:r>
          </w:p>
        </w:tc>
        <w:tc>
          <w:tcPr>
            <w:tcW w:w="411" w:type="pct"/>
          </w:tcPr>
          <w:p w14:paraId="5A0F9EA9"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Narrated by software </w:t>
            </w:r>
          </w:p>
        </w:tc>
        <w:tc>
          <w:tcPr>
            <w:tcW w:w="344" w:type="pct"/>
          </w:tcPr>
          <w:p w14:paraId="2446A2BF"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Manually on the device </w:t>
            </w:r>
          </w:p>
        </w:tc>
        <w:tc>
          <w:tcPr>
            <w:tcW w:w="352" w:type="pct"/>
          </w:tcPr>
          <w:p w14:paraId="44DE3BB3" w14:textId="77777777" w:rsidR="002C1959" w:rsidRPr="002B4A51" w:rsidRDefault="002C1959" w:rsidP="002B4A51">
            <w:pPr>
              <w:spacing w:after="0" w:line="360" w:lineRule="auto"/>
              <w:jc w:val="both"/>
              <w:rPr>
                <w:rFonts w:ascii="Arial" w:hAnsi="Arial" w:cs="Arial"/>
                <w:b/>
                <w:sz w:val="24"/>
                <w:szCs w:val="24"/>
              </w:rPr>
            </w:pPr>
            <w:r w:rsidRPr="002B4A51">
              <w:rPr>
                <w:rFonts w:ascii="Arial" w:hAnsi="Arial" w:cs="Arial"/>
                <w:sz w:val="24"/>
                <w:szCs w:val="24"/>
              </w:rPr>
              <w:t xml:space="preserve">Calculated by the software </w:t>
            </w:r>
          </w:p>
        </w:tc>
      </w:tr>
      <w:tr w:rsidR="002C1959" w:rsidRPr="002B4A51" w14:paraId="2E52EC16" w14:textId="77777777" w:rsidTr="002C1959">
        <w:tc>
          <w:tcPr>
            <w:tcW w:w="417" w:type="pct"/>
          </w:tcPr>
          <w:p w14:paraId="24BDCC1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Hellocog</w:t>
            </w:r>
          </w:p>
        </w:tc>
        <w:tc>
          <w:tcPr>
            <w:tcW w:w="366" w:type="pct"/>
          </w:tcPr>
          <w:p w14:paraId="204A6D30"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Seok et al. (2024)</w:t>
            </w:r>
            <w:r w:rsidRPr="002B4A51">
              <w:rPr>
                <w:rFonts w:ascii="Arial" w:hAnsi="Arial" w:cs="Arial"/>
                <w:sz w:val="24"/>
                <w:szCs w:val="24"/>
                <w:vertAlign w:val="superscript"/>
                <w:lang w:val="en-US"/>
              </w:rPr>
              <w:t>68</w:t>
            </w:r>
          </w:p>
        </w:tc>
        <w:tc>
          <w:tcPr>
            <w:tcW w:w="436" w:type="pct"/>
          </w:tcPr>
          <w:p w14:paraId="624B891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ND  </w:t>
            </w:r>
          </w:p>
        </w:tc>
        <w:tc>
          <w:tcPr>
            <w:tcW w:w="870" w:type="pct"/>
          </w:tcPr>
          <w:p w14:paraId="06D6986A"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 questionnaire part (Hellocog-Q) and a test part (Hellocog-T) for temporal orientation, memory (word learning, recall and recognition), executive function (trail making test), verbal fluency and naming</w:t>
            </w:r>
          </w:p>
        </w:tc>
        <w:tc>
          <w:tcPr>
            <w:tcW w:w="451" w:type="pct"/>
          </w:tcPr>
          <w:p w14:paraId="71A1CD4E"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Elderly people with (77.9 ± 6.4) or without (74.1 ± 4.3) dementia (</w:t>
            </w:r>
            <w:r w:rsidRPr="002B4A51">
              <w:rPr>
                <w:rFonts w:ascii="Arial" w:hAnsi="Arial" w:cs="Arial"/>
                <w:i/>
                <w:sz w:val="24"/>
                <w:szCs w:val="24"/>
                <w:lang w:val="en-US"/>
              </w:rPr>
              <w:t xml:space="preserve">n </w:t>
            </w:r>
            <w:r w:rsidRPr="002B4A51">
              <w:rPr>
                <w:rFonts w:ascii="Arial" w:hAnsi="Arial" w:cs="Arial"/>
                <w:sz w:val="24"/>
                <w:szCs w:val="24"/>
                <w:lang w:val="en-US"/>
              </w:rPr>
              <w:t>= 185)</w:t>
            </w:r>
          </w:p>
        </w:tc>
        <w:tc>
          <w:tcPr>
            <w:tcW w:w="407" w:type="pct"/>
          </w:tcPr>
          <w:p w14:paraId="674E2F6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Coreia do Sul </w:t>
            </w:r>
          </w:p>
        </w:tc>
        <w:tc>
          <w:tcPr>
            <w:tcW w:w="388" w:type="pct"/>
          </w:tcPr>
          <w:p w14:paraId="3D7C9AC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w:t>
            </w:r>
          </w:p>
        </w:tc>
        <w:tc>
          <w:tcPr>
            <w:tcW w:w="557" w:type="pct"/>
          </w:tcPr>
          <w:p w14:paraId="704B2F9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0F6CB501"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Read on screen</w:t>
            </w:r>
          </w:p>
        </w:tc>
        <w:tc>
          <w:tcPr>
            <w:tcW w:w="344" w:type="pct"/>
          </w:tcPr>
          <w:p w14:paraId="5868AD6C"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Manually on the device in nonverbal tasks and verbalized in verbal tasks  </w:t>
            </w:r>
          </w:p>
        </w:tc>
        <w:tc>
          <w:tcPr>
            <w:tcW w:w="352" w:type="pct"/>
          </w:tcPr>
          <w:p w14:paraId="42D1DBB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1B6ED758" w14:textId="77777777" w:rsidTr="002C1959">
        <w:tc>
          <w:tcPr>
            <w:tcW w:w="417" w:type="pct"/>
          </w:tcPr>
          <w:p w14:paraId="3E37DCB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INCP </w:t>
            </w:r>
          </w:p>
        </w:tc>
        <w:tc>
          <w:tcPr>
            <w:tcW w:w="366" w:type="pct"/>
          </w:tcPr>
          <w:p w14:paraId="001C02D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Maierhofer et al. (2024)</w:t>
            </w:r>
            <w:r w:rsidRPr="002B4A51">
              <w:rPr>
                <w:rFonts w:ascii="Arial" w:hAnsi="Arial" w:cs="Arial"/>
                <w:sz w:val="24"/>
                <w:szCs w:val="24"/>
                <w:vertAlign w:val="superscript"/>
              </w:rPr>
              <w:t>73</w:t>
            </w:r>
          </w:p>
        </w:tc>
        <w:tc>
          <w:tcPr>
            <w:tcW w:w="436" w:type="pct"/>
          </w:tcPr>
          <w:p w14:paraId="4DA5FD8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In general</w:t>
            </w:r>
          </w:p>
        </w:tc>
        <w:tc>
          <w:tcPr>
            <w:tcW w:w="870" w:type="pct"/>
          </w:tcPr>
          <w:p w14:paraId="73FCBEF9"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language, learning and memory, social cognition</w:t>
            </w:r>
          </w:p>
        </w:tc>
        <w:tc>
          <w:tcPr>
            <w:tcW w:w="451" w:type="pct"/>
          </w:tcPr>
          <w:p w14:paraId="423739E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(19-90) (</w:t>
            </w:r>
            <w:r w:rsidRPr="002B4A51">
              <w:rPr>
                <w:rFonts w:ascii="Arial" w:hAnsi="Arial" w:cs="Arial"/>
                <w:i/>
                <w:sz w:val="24"/>
                <w:szCs w:val="24"/>
              </w:rPr>
              <w:t>n</w:t>
            </w:r>
            <w:r w:rsidRPr="002B4A51">
              <w:rPr>
                <w:rFonts w:ascii="Arial" w:hAnsi="Arial" w:cs="Arial"/>
                <w:sz w:val="24"/>
                <w:szCs w:val="24"/>
              </w:rPr>
              <w:t xml:space="preserve"> = 70)</w:t>
            </w:r>
          </w:p>
        </w:tc>
        <w:tc>
          <w:tcPr>
            <w:tcW w:w="407" w:type="pct"/>
          </w:tcPr>
          <w:p w14:paraId="5BB494C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Austria</w:t>
            </w:r>
          </w:p>
        </w:tc>
        <w:tc>
          <w:tcPr>
            <w:tcW w:w="388" w:type="pct"/>
          </w:tcPr>
          <w:p w14:paraId="39BD666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w:t>
            </w:r>
          </w:p>
        </w:tc>
        <w:tc>
          <w:tcPr>
            <w:tcW w:w="557" w:type="pct"/>
          </w:tcPr>
          <w:p w14:paraId="320F10E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0709502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Verbalized by the examiner</w:t>
            </w:r>
          </w:p>
        </w:tc>
        <w:tc>
          <w:tcPr>
            <w:tcW w:w="344" w:type="pct"/>
          </w:tcPr>
          <w:p w14:paraId="0B55C6C3"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Manually on the device</w:t>
            </w:r>
          </w:p>
        </w:tc>
        <w:tc>
          <w:tcPr>
            <w:tcW w:w="352" w:type="pct"/>
          </w:tcPr>
          <w:p w14:paraId="74B6D65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NR</w:t>
            </w:r>
          </w:p>
        </w:tc>
      </w:tr>
      <w:tr w:rsidR="002C1959" w:rsidRPr="002B4A51" w14:paraId="25B49033" w14:textId="77777777" w:rsidTr="002C1959">
        <w:tc>
          <w:tcPr>
            <w:tcW w:w="417" w:type="pct"/>
          </w:tcPr>
          <w:p w14:paraId="06480C4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LCCAB</w:t>
            </w:r>
          </w:p>
        </w:tc>
        <w:tc>
          <w:tcPr>
            <w:tcW w:w="366" w:type="pct"/>
          </w:tcPr>
          <w:p w14:paraId="150CF52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Patel et al. (2024)</w:t>
            </w:r>
            <w:r w:rsidRPr="002B4A51">
              <w:rPr>
                <w:rFonts w:ascii="Arial" w:hAnsi="Arial" w:cs="Arial"/>
                <w:sz w:val="24"/>
                <w:szCs w:val="24"/>
                <w:vertAlign w:val="superscript"/>
              </w:rPr>
              <w:t>76</w:t>
            </w:r>
          </w:p>
        </w:tc>
        <w:tc>
          <w:tcPr>
            <w:tcW w:w="436" w:type="pct"/>
          </w:tcPr>
          <w:p w14:paraId="2D26042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Pr>
          <w:p w14:paraId="267A395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language, learning and memory, social cognition</w:t>
            </w:r>
          </w:p>
        </w:tc>
        <w:tc>
          <w:tcPr>
            <w:tcW w:w="451" w:type="pct"/>
          </w:tcPr>
          <w:p w14:paraId="39F68B08"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Adults with cognitive impairment during long covid (</w:t>
            </w:r>
            <w:r w:rsidRPr="002B4A51">
              <w:rPr>
                <w:rFonts w:ascii="Arial" w:hAnsi="Arial" w:cs="Arial"/>
                <w:i/>
                <w:sz w:val="24"/>
                <w:szCs w:val="24"/>
                <w:lang w:val="en-US"/>
              </w:rPr>
              <w:t>n</w:t>
            </w:r>
            <w:r w:rsidRPr="002B4A51">
              <w:rPr>
                <w:rFonts w:ascii="Arial" w:hAnsi="Arial" w:cs="Arial"/>
                <w:sz w:val="24"/>
                <w:szCs w:val="24"/>
                <w:lang w:val="en-US"/>
              </w:rPr>
              <w:t xml:space="preserve"> = 102)</w:t>
            </w:r>
          </w:p>
        </w:tc>
        <w:tc>
          <w:tcPr>
            <w:tcW w:w="407" w:type="pct"/>
          </w:tcPr>
          <w:p w14:paraId="4240963C"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UK </w:t>
            </w:r>
          </w:p>
        </w:tc>
        <w:tc>
          <w:tcPr>
            <w:tcW w:w="388" w:type="pct"/>
          </w:tcPr>
          <w:p w14:paraId="42D05DF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Tablet ou smartphone</w:t>
            </w:r>
          </w:p>
        </w:tc>
        <w:tc>
          <w:tcPr>
            <w:tcW w:w="557" w:type="pct"/>
          </w:tcPr>
          <w:p w14:paraId="4EB13188"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Supervised in-person</w:t>
            </w:r>
          </w:p>
        </w:tc>
        <w:tc>
          <w:tcPr>
            <w:tcW w:w="411" w:type="pct"/>
          </w:tcPr>
          <w:p w14:paraId="7EC60AB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Read on screen and narrated by software</w:t>
            </w:r>
          </w:p>
        </w:tc>
        <w:tc>
          <w:tcPr>
            <w:tcW w:w="344" w:type="pct"/>
          </w:tcPr>
          <w:p w14:paraId="0E96064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2C7C2FC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615B7D85" w14:textId="77777777" w:rsidTr="002C1959">
        <w:tc>
          <w:tcPr>
            <w:tcW w:w="417" w:type="pct"/>
          </w:tcPr>
          <w:p w14:paraId="1B0CCB7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NeurOn</w:t>
            </w:r>
          </w:p>
        </w:tc>
        <w:tc>
          <w:tcPr>
            <w:tcW w:w="366" w:type="pct"/>
          </w:tcPr>
          <w:p w14:paraId="54E5A2D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lang w:val="en-US"/>
              </w:rPr>
              <w:t>Morrissey et al. (2024)</w:t>
            </w:r>
            <w:r w:rsidRPr="002B4A51">
              <w:rPr>
                <w:rFonts w:ascii="Arial" w:hAnsi="Arial" w:cs="Arial"/>
                <w:sz w:val="24"/>
                <w:szCs w:val="24"/>
                <w:vertAlign w:val="superscript"/>
                <w:lang w:val="en-US"/>
              </w:rPr>
              <w:t>74</w:t>
            </w:r>
          </w:p>
        </w:tc>
        <w:tc>
          <w:tcPr>
            <w:tcW w:w="436" w:type="pct"/>
          </w:tcPr>
          <w:p w14:paraId="08A5D8F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To elders</w:t>
            </w:r>
          </w:p>
        </w:tc>
        <w:tc>
          <w:tcPr>
            <w:tcW w:w="870" w:type="pct"/>
          </w:tcPr>
          <w:p w14:paraId="5D807B8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episodic memory, visuospatial working memory, perceptual organization, spatial orientation and processing speed</w:t>
            </w:r>
          </w:p>
        </w:tc>
        <w:tc>
          <w:tcPr>
            <w:tcW w:w="451" w:type="pct"/>
          </w:tcPr>
          <w:p w14:paraId="250FCC0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Elderly (70.19 ± 4.84) ​​(</w:t>
            </w:r>
            <w:r w:rsidRPr="002B4A51">
              <w:rPr>
                <w:rFonts w:ascii="Arial" w:hAnsi="Arial" w:cs="Arial"/>
                <w:i/>
                <w:sz w:val="24"/>
                <w:szCs w:val="24"/>
              </w:rPr>
              <w:t>n</w:t>
            </w:r>
            <w:r w:rsidRPr="002B4A51">
              <w:rPr>
                <w:rFonts w:ascii="Arial" w:hAnsi="Arial" w:cs="Arial"/>
                <w:sz w:val="24"/>
                <w:szCs w:val="24"/>
              </w:rPr>
              <w:t xml:space="preserve"> = 32)</w:t>
            </w:r>
          </w:p>
        </w:tc>
        <w:tc>
          <w:tcPr>
            <w:tcW w:w="407" w:type="pct"/>
          </w:tcPr>
          <w:p w14:paraId="6A13D8A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UK </w:t>
            </w:r>
          </w:p>
        </w:tc>
        <w:tc>
          <w:tcPr>
            <w:tcW w:w="388" w:type="pct"/>
          </w:tcPr>
          <w:p w14:paraId="166C4967"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Tablet or computer </w:t>
            </w:r>
          </w:p>
        </w:tc>
        <w:tc>
          <w:tcPr>
            <w:tcW w:w="557" w:type="pct"/>
          </w:tcPr>
          <w:p w14:paraId="5348C51D"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Self-administered </w:t>
            </w:r>
          </w:p>
        </w:tc>
        <w:tc>
          <w:tcPr>
            <w:tcW w:w="411" w:type="pct"/>
          </w:tcPr>
          <w:p w14:paraId="29BEDB6E"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e narradas em vídeo pelo </w:t>
            </w:r>
            <w:r w:rsidRPr="002B4A51">
              <w:rPr>
                <w:rFonts w:ascii="Arial" w:hAnsi="Arial" w:cs="Arial"/>
                <w:i/>
                <w:sz w:val="24"/>
                <w:szCs w:val="24"/>
              </w:rPr>
              <w:t xml:space="preserve">software </w:t>
            </w:r>
            <w:r w:rsidRPr="002B4A51">
              <w:rPr>
                <w:rFonts w:ascii="Arial" w:hAnsi="Arial" w:cs="Arial"/>
                <w:sz w:val="24"/>
                <w:szCs w:val="24"/>
              </w:rPr>
              <w:t xml:space="preserve"> </w:t>
            </w:r>
          </w:p>
        </w:tc>
        <w:tc>
          <w:tcPr>
            <w:tcW w:w="344" w:type="pct"/>
          </w:tcPr>
          <w:p w14:paraId="19F4C20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Pr>
          <w:p w14:paraId="5DC49A26"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r w:rsidR="002C1959" w:rsidRPr="002B4A51" w14:paraId="66753F0C" w14:textId="77777777" w:rsidTr="002C1959">
        <w:tc>
          <w:tcPr>
            <w:tcW w:w="417" w:type="pct"/>
            <w:tcBorders>
              <w:bottom w:val="single" w:sz="4" w:space="0" w:color="auto"/>
            </w:tcBorders>
          </w:tcPr>
          <w:p w14:paraId="0DEB39DA"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SAO</w:t>
            </w:r>
          </w:p>
        </w:tc>
        <w:tc>
          <w:tcPr>
            <w:tcW w:w="366" w:type="pct"/>
            <w:tcBorders>
              <w:bottom w:val="single" w:sz="4" w:space="0" w:color="auto"/>
            </w:tcBorders>
          </w:tcPr>
          <w:p w14:paraId="14170E34"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rPr>
              <w:t>Tsiaras et al. (2024)</w:t>
            </w:r>
            <w:r w:rsidRPr="002B4A51">
              <w:rPr>
                <w:rFonts w:ascii="Arial" w:hAnsi="Arial" w:cs="Arial"/>
                <w:sz w:val="24"/>
                <w:szCs w:val="24"/>
                <w:vertAlign w:val="superscript"/>
              </w:rPr>
              <w:t>78</w:t>
            </w:r>
          </w:p>
        </w:tc>
        <w:tc>
          <w:tcPr>
            <w:tcW w:w="436" w:type="pct"/>
            <w:tcBorders>
              <w:bottom w:val="single" w:sz="4" w:space="0" w:color="auto"/>
            </w:tcBorders>
          </w:tcPr>
          <w:p w14:paraId="5388A89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In general </w:t>
            </w:r>
          </w:p>
        </w:tc>
        <w:tc>
          <w:tcPr>
            <w:tcW w:w="870" w:type="pct"/>
            <w:tcBorders>
              <w:bottom w:val="single" w:sz="4" w:space="0" w:color="auto"/>
            </w:tcBorders>
          </w:tcPr>
          <w:p w14:paraId="3CB8C8E7" w14:textId="77777777" w:rsidR="002C1959" w:rsidRPr="002B4A51" w:rsidRDefault="002C1959"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Attention, executive functions, verbal memory, visual memory and working memory</w:t>
            </w:r>
          </w:p>
        </w:tc>
        <w:tc>
          <w:tcPr>
            <w:tcW w:w="451" w:type="pct"/>
            <w:tcBorders>
              <w:bottom w:val="single" w:sz="4" w:space="0" w:color="auto"/>
            </w:tcBorders>
          </w:tcPr>
          <w:p w14:paraId="18001F29"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Adults (18-70) (</w:t>
            </w:r>
            <w:r w:rsidRPr="002B4A51">
              <w:rPr>
                <w:rFonts w:ascii="Arial" w:hAnsi="Arial" w:cs="Arial"/>
                <w:i/>
                <w:sz w:val="24"/>
                <w:szCs w:val="24"/>
              </w:rPr>
              <w:t>n</w:t>
            </w:r>
            <w:r w:rsidRPr="002B4A51">
              <w:rPr>
                <w:rFonts w:ascii="Arial" w:hAnsi="Arial" w:cs="Arial"/>
                <w:sz w:val="24"/>
                <w:szCs w:val="24"/>
              </w:rPr>
              <w:t xml:space="preserve"> = 169) </w:t>
            </w:r>
          </w:p>
        </w:tc>
        <w:tc>
          <w:tcPr>
            <w:tcW w:w="407" w:type="pct"/>
            <w:tcBorders>
              <w:bottom w:val="single" w:sz="4" w:space="0" w:color="auto"/>
            </w:tcBorders>
          </w:tcPr>
          <w:p w14:paraId="57B8282F"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Greece</w:t>
            </w:r>
          </w:p>
        </w:tc>
        <w:tc>
          <w:tcPr>
            <w:tcW w:w="388" w:type="pct"/>
            <w:tcBorders>
              <w:bottom w:val="single" w:sz="4" w:space="0" w:color="auto"/>
            </w:tcBorders>
          </w:tcPr>
          <w:p w14:paraId="4EEA6711" w14:textId="77777777" w:rsidR="002C1959" w:rsidRPr="002B4A51" w:rsidRDefault="002C1959" w:rsidP="002B4A51">
            <w:pPr>
              <w:spacing w:after="0" w:line="360" w:lineRule="auto"/>
              <w:jc w:val="both"/>
              <w:rPr>
                <w:rFonts w:ascii="Arial" w:hAnsi="Arial" w:cs="Arial"/>
                <w:i/>
                <w:sz w:val="24"/>
                <w:szCs w:val="24"/>
              </w:rPr>
            </w:pPr>
            <w:r w:rsidRPr="002B4A51">
              <w:rPr>
                <w:rFonts w:ascii="Arial" w:hAnsi="Arial" w:cs="Arial"/>
                <w:sz w:val="24"/>
                <w:szCs w:val="24"/>
              </w:rPr>
              <w:t xml:space="preserve">Computer </w:t>
            </w:r>
          </w:p>
        </w:tc>
        <w:tc>
          <w:tcPr>
            <w:tcW w:w="557" w:type="pct"/>
            <w:tcBorders>
              <w:bottom w:val="single" w:sz="4" w:space="0" w:color="auto"/>
            </w:tcBorders>
          </w:tcPr>
          <w:p w14:paraId="1180E8C5"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Audoadministrada</w:t>
            </w:r>
          </w:p>
        </w:tc>
        <w:tc>
          <w:tcPr>
            <w:tcW w:w="411" w:type="pct"/>
            <w:tcBorders>
              <w:bottom w:val="single" w:sz="4" w:space="0" w:color="auto"/>
            </w:tcBorders>
          </w:tcPr>
          <w:p w14:paraId="196E8F22"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Read on screen </w:t>
            </w:r>
          </w:p>
        </w:tc>
        <w:tc>
          <w:tcPr>
            <w:tcW w:w="344" w:type="pct"/>
            <w:tcBorders>
              <w:bottom w:val="single" w:sz="4" w:space="0" w:color="auto"/>
            </w:tcBorders>
          </w:tcPr>
          <w:p w14:paraId="4175BC5B"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Manually on the device </w:t>
            </w:r>
          </w:p>
        </w:tc>
        <w:tc>
          <w:tcPr>
            <w:tcW w:w="352" w:type="pct"/>
            <w:tcBorders>
              <w:bottom w:val="single" w:sz="4" w:space="0" w:color="auto"/>
            </w:tcBorders>
          </w:tcPr>
          <w:p w14:paraId="5CC7C0F4" w14:textId="77777777" w:rsidR="002C1959" w:rsidRPr="002B4A51" w:rsidRDefault="002C1959" w:rsidP="002B4A51">
            <w:pPr>
              <w:spacing w:after="0" w:line="360" w:lineRule="auto"/>
              <w:jc w:val="both"/>
              <w:rPr>
                <w:rFonts w:ascii="Arial" w:hAnsi="Arial" w:cs="Arial"/>
                <w:sz w:val="24"/>
                <w:szCs w:val="24"/>
              </w:rPr>
            </w:pPr>
            <w:r w:rsidRPr="002B4A51">
              <w:rPr>
                <w:rFonts w:ascii="Arial" w:hAnsi="Arial" w:cs="Arial"/>
                <w:sz w:val="24"/>
                <w:szCs w:val="24"/>
              </w:rPr>
              <w:t xml:space="preserve">Calculated by the software </w:t>
            </w:r>
          </w:p>
        </w:tc>
      </w:tr>
    </w:tbl>
    <w:p w14:paraId="3B00A2AD" w14:textId="7564678A" w:rsidR="0090454E" w:rsidRPr="002B4A51" w:rsidRDefault="006D575C"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w:t>
      </w:r>
      <w:r w:rsidR="0090454E" w:rsidRPr="002B4A51">
        <w:rPr>
          <w:rFonts w:ascii="Arial" w:hAnsi="Arial" w:cs="Arial"/>
          <w:sz w:val="24"/>
          <w:szCs w:val="24"/>
          <w:lang w:val="en-US"/>
        </w:rPr>
        <w:t xml:space="preserve">According to categorization by the referenced studies. </w:t>
      </w:r>
      <w:r w:rsidRPr="002B4A51">
        <w:rPr>
          <w:rFonts w:ascii="Arial" w:hAnsi="Arial" w:cs="Arial"/>
          <w:sz w:val="24"/>
          <w:szCs w:val="24"/>
          <w:vertAlign w:val="superscript"/>
          <w:lang w:val="en-US"/>
        </w:rPr>
        <w:t>+</w:t>
      </w:r>
      <w:r w:rsidR="0090454E" w:rsidRPr="002B4A51">
        <w:rPr>
          <w:rFonts w:ascii="Arial" w:hAnsi="Arial" w:cs="Arial"/>
          <w:sz w:val="24"/>
          <w:szCs w:val="24"/>
          <w:lang w:val="en-US"/>
        </w:rPr>
        <w:t xml:space="preserve">As per the referenced study, which is the oldest published source located for the instrument (cf. “Method”); other studies may exist with psychometric properties for other populations; age in parentheses (range or mean ± standard deviation, as reported by the authors). </w:t>
      </w:r>
      <w:r w:rsidRPr="002B4A51">
        <w:rPr>
          <w:rFonts w:ascii="Arial" w:hAnsi="Arial" w:cs="Arial"/>
          <w:sz w:val="24"/>
          <w:szCs w:val="24"/>
          <w:vertAlign w:val="superscript"/>
          <w:lang w:val="en-US"/>
        </w:rPr>
        <w:t>§</w:t>
      </w:r>
      <w:r w:rsidR="0090454E" w:rsidRPr="002B4A51">
        <w:rPr>
          <w:rFonts w:ascii="Arial" w:hAnsi="Arial" w:cs="Arial"/>
          <w:sz w:val="24"/>
          <w:szCs w:val="24"/>
          <w:lang w:val="en-US"/>
        </w:rPr>
        <w:t>Developed in 1999</w:t>
      </w:r>
      <w:r w:rsidR="0090454E" w:rsidRPr="002B4A51">
        <w:rPr>
          <w:rFonts w:ascii="Arial" w:hAnsi="Arial" w:cs="Arial"/>
          <w:sz w:val="24"/>
          <w:szCs w:val="24"/>
          <w:vertAlign w:val="superscript"/>
          <w:lang w:val="en-US"/>
        </w:rPr>
        <w:t>97</w:t>
      </w:r>
      <w:r w:rsidR="0090454E" w:rsidRPr="002B4A51">
        <w:rPr>
          <w:rFonts w:ascii="Arial" w:hAnsi="Arial" w:cs="Arial"/>
          <w:sz w:val="24"/>
          <w:szCs w:val="24"/>
          <w:lang w:val="en-US"/>
        </w:rPr>
        <w:t xml:space="preserve">. Abbreviations (abbreviations are those used by the authors, except where reported, and when authors adopted titles already abbreviated by others, such as “TMT” for “Trail Making Test”): </w:t>
      </w:r>
      <w:r w:rsidR="007F1142" w:rsidRPr="002B4A51">
        <w:rPr>
          <w:rFonts w:ascii="Arial" w:hAnsi="Arial" w:cs="Arial"/>
          <w:sz w:val="24"/>
          <w:szCs w:val="24"/>
          <w:lang w:val="en-US"/>
        </w:rPr>
        <w:t>AD: Alzheimer's disease; AIM: Abstraction Inhibition and Working Memory; ALLFTD-mAPP: Advancing Research and Treatment for Frontotemporal Lobar Degeneration/Longitudinal Evaluation of Familial FrontoTemporal Dementia Subjects Mobile App; B-ALA: battery created at the Institute for Work, Learning and Aging (ALA) [not named by the authors, but referred to as such in this review when mentioned]; BCBZF: Brief Computerized Battery by Zhang and Feinstein</w:t>
      </w:r>
      <w:r w:rsidR="007F1142" w:rsidRPr="002B4A51">
        <w:rPr>
          <w:rFonts w:ascii="Arial" w:hAnsi="Arial" w:cs="Arial"/>
          <w:sz w:val="24"/>
          <w:szCs w:val="24"/>
          <w:vertAlign w:val="superscript"/>
          <w:lang w:val="en-US"/>
        </w:rPr>
        <w:t>30</w:t>
      </w:r>
      <w:r w:rsidR="007F1142" w:rsidRPr="002B4A51">
        <w:rPr>
          <w:rFonts w:ascii="Arial" w:hAnsi="Arial" w:cs="Arial"/>
          <w:sz w:val="24"/>
          <w:szCs w:val="24"/>
          <w:lang w:val="en-US"/>
        </w:rPr>
        <w:t xml:space="preserve"> [not named by the authors, but referred to as such in this review when mentioned]; BD: bipolar disorder; BMT: Block Maze Test; Brainlab AG: computerized battery developed by Brainlab AG [not named by the authors, but referred to as such in this review when mentioned]; BOCAS: Baguan Online Cognitive Assessment System; CANTAB: Cambridge Neuropsychological Test Automated Battery; CBS: Cambridge Brain Sciences Battery; CBTT: Corsi Block Tapping Test; CCAB: California Cognitive Assessment Battery; CCL: Cognitive Complaint Level; cDST: Computerized Digital [sic] Span Test; CEB: Cognitive and Emotional Battery [not named by the authors, but referred to as such in this review when mentioned]; CFT: Category Fluency Test; CGT: Cambridge Gambling Task; CNBC: Computerized Neurocognitive Battery for Chinese-Speaking Participants; CNCB: Chinese Neuropsychological Consensus Battery; CNSVS: Central Nervous System Vital Signs; Codesub: Code Substitution Test; Cogsuite: Enformia Cogsuite Battery; CPT [WinSCAT]: Running Memory Continuous Performance Test; CPT: Continuous Performance Test; CRPM: Computerized Raven’s Progressive Matrices; cSTT: Computerized Shape Trail Test; C-TOC: Cognitive Testing on Computer; Creyos: Creyos Battery; DCCS: Dimensional Change Card Sort; FTD: frontotemporal dementia; DICE: Dice 2-n Back; ND: neurodegenerative diseases; PD: Parkinson's disease; DSBT: Digit Span Backward Test; DSFT: Digit Span Forward Test; DSST: Digit Symbol Substitution Test; DST: Digit Symbol Test; FFT: Figure Fluency Test; FTD: frontotemporal dementia; FTT: Finger Tapping Test; IED: Intra-Extra Dimensional Set Shift; Inbrain CST: Inbrain Cognitive Screening Test; K-TMT-E: Korean-Trail Making Test–Elderly Version; LCCAB: Long COVID Assessment Battery; M2S: Delayed Matching to Sample; Math: Mathematical Processing; MTT: Multitasking Task; Neurotrack: Neurotrack Cognitive Assessment Battery (N-CAB); ND: neurodegenerative disease; NIH Toolbox: NIH [National Institutes of Health] Toolbox for Assessment of Neurological and Behavioral Function; NR: not reported; ONAs: Online Neurocognitive Assessments; OSCTB: Open-Source Cognitive Test Battery (not named by the authors, but referred to as such in the present study when mentioned); OSPAN: Operational Span Test; PAL: Paired Associates Learning; PASAT: Paced Auditory Serial Addition Test; PIT: Penn Inhibition Test; PVSAT-2: Paced Visual Serial Addition Test – 2-Second Trials; SAO: Self-Administered Online Battery; SART: Sustained Attention to Response Task; SAT: Shifting Attention Test; SDC: Symbol Digit Coding; SDMaT: Symbol Digit Matching Test; SDMT: Symbol Digit Modalities Test; SOC: Stockings of Cambridge; SS: Spatial Span; SST: Symbol Sorting Test; TBI: traumatic brain injury; TDT: Time Duration Test; TLT-s: Traffic Light Test–short; TMT: Trail Making Test (Forms A and/or B); UK: United Kingdom; USA: United States of America; VCT: Virtual Cooking Test; VFT: Verbal Fluency Test; VFA: Verbal Fluency – Animal Naming; VST: Visual Span Test; WinSCAT: Spaceflight Cognitive Assessment Tool for Windows</w:t>
      </w:r>
      <w:r w:rsidR="0090454E" w:rsidRPr="002B4A51">
        <w:rPr>
          <w:rFonts w:ascii="Arial" w:hAnsi="Arial" w:cs="Arial"/>
          <w:sz w:val="24"/>
          <w:szCs w:val="24"/>
          <w:lang w:val="en-US"/>
        </w:rPr>
        <w:t>.</w:t>
      </w:r>
    </w:p>
    <w:p w14:paraId="226D8F3B" w14:textId="77777777" w:rsidR="00163685" w:rsidRPr="002B4A51" w:rsidRDefault="00163685" w:rsidP="002B4A51">
      <w:pPr>
        <w:spacing w:after="0" w:line="360" w:lineRule="auto"/>
        <w:jc w:val="both"/>
        <w:rPr>
          <w:rFonts w:ascii="Arial" w:hAnsi="Arial" w:cs="Arial"/>
          <w:b/>
          <w:sz w:val="24"/>
          <w:szCs w:val="24"/>
          <w:lang w:val="en-US"/>
        </w:rPr>
      </w:pPr>
    </w:p>
    <w:p w14:paraId="601C8FBE" w14:textId="77777777" w:rsidR="00BC6E90" w:rsidRPr="002B4A51" w:rsidRDefault="00BC6E90" w:rsidP="002B4A51">
      <w:pPr>
        <w:spacing w:after="0" w:line="360" w:lineRule="auto"/>
        <w:jc w:val="both"/>
        <w:rPr>
          <w:rFonts w:ascii="Arial" w:hAnsi="Arial" w:cs="Arial"/>
          <w:b/>
          <w:sz w:val="24"/>
          <w:szCs w:val="24"/>
          <w:lang w:val="en-US"/>
        </w:rPr>
      </w:pPr>
    </w:p>
    <w:p w14:paraId="42C34689" w14:textId="77777777" w:rsidR="00BC6E90" w:rsidRPr="002B4A51" w:rsidRDefault="00BC6E90" w:rsidP="002B4A51">
      <w:pPr>
        <w:spacing w:after="0" w:line="360" w:lineRule="auto"/>
        <w:jc w:val="both"/>
        <w:rPr>
          <w:rFonts w:ascii="Arial" w:hAnsi="Arial" w:cs="Arial"/>
          <w:b/>
          <w:sz w:val="24"/>
          <w:szCs w:val="24"/>
          <w:lang w:val="en-US"/>
        </w:rPr>
      </w:pPr>
      <w:r w:rsidRPr="002B4A51">
        <w:rPr>
          <w:rFonts w:ascii="Arial" w:hAnsi="Arial" w:cs="Arial"/>
          <w:b/>
          <w:sz w:val="24"/>
          <w:szCs w:val="24"/>
          <w:lang w:val="en-US"/>
        </w:rPr>
        <w:br w:type="page"/>
      </w:r>
    </w:p>
    <w:p w14:paraId="5875DFCB" w14:textId="7B21B9DE" w:rsidR="00BC6E90" w:rsidRPr="002B4A51" w:rsidRDefault="00BC6E90" w:rsidP="002B4A51">
      <w:pPr>
        <w:spacing w:after="0" w:line="360" w:lineRule="auto"/>
        <w:jc w:val="both"/>
        <w:rPr>
          <w:rFonts w:ascii="Arial" w:hAnsi="Arial" w:cs="Arial"/>
          <w:i/>
          <w:sz w:val="24"/>
          <w:szCs w:val="24"/>
          <w:lang w:val="en-US"/>
        </w:rPr>
      </w:pPr>
      <w:r w:rsidRPr="002B4A51">
        <w:rPr>
          <w:rFonts w:ascii="Arial" w:hAnsi="Arial" w:cs="Arial"/>
          <w:b/>
          <w:sz w:val="24"/>
          <w:szCs w:val="24"/>
          <w:lang w:val="en-US"/>
        </w:rPr>
        <w:t xml:space="preserve">Tabela </w:t>
      </w:r>
      <w:r w:rsidR="002B4A51">
        <w:rPr>
          <w:rFonts w:ascii="Arial" w:hAnsi="Arial" w:cs="Arial"/>
          <w:b/>
          <w:sz w:val="24"/>
          <w:szCs w:val="24"/>
          <w:lang w:val="en-US"/>
        </w:rPr>
        <w:t>S</w:t>
      </w:r>
      <w:r w:rsidRPr="002B4A51">
        <w:rPr>
          <w:rFonts w:ascii="Arial" w:hAnsi="Arial" w:cs="Arial"/>
          <w:b/>
          <w:sz w:val="24"/>
          <w:szCs w:val="24"/>
          <w:lang w:val="en-US"/>
        </w:rPr>
        <w:t xml:space="preserve">4. </w:t>
      </w:r>
      <w:r w:rsidRPr="002B4A51">
        <w:rPr>
          <w:rFonts w:ascii="Arial" w:hAnsi="Arial" w:cs="Arial"/>
          <w:sz w:val="24"/>
          <w:szCs w:val="24"/>
          <w:lang w:val="en-US"/>
        </w:rPr>
        <w:t>Table 4. Tasks or tests found in batteries classifiable as FE (</w:t>
      </w:r>
      <w:r w:rsidRPr="002B4A51">
        <w:rPr>
          <w:rFonts w:ascii="Arial" w:hAnsi="Arial" w:cs="Arial"/>
          <w:i/>
          <w:sz w:val="24"/>
          <w:szCs w:val="24"/>
          <w:lang w:val="en-US"/>
        </w:rPr>
        <w:t>n</w:t>
      </w:r>
      <w:r w:rsidRPr="002B4A51">
        <w:rPr>
          <w:rFonts w:ascii="Arial" w:hAnsi="Arial" w:cs="Arial"/>
          <w:sz w:val="24"/>
          <w:szCs w:val="24"/>
          <w:lang w:val="en-US"/>
        </w:rPr>
        <w:t xml:space="preserve"> = 174) </w:t>
      </w:r>
    </w:p>
    <w:tbl>
      <w:tblPr>
        <w:tblW w:w="5000" w:type="pct"/>
        <w:tblLook w:val="04A0" w:firstRow="1" w:lastRow="0" w:firstColumn="1" w:lastColumn="0" w:noHBand="0" w:noVBand="1"/>
      </w:tblPr>
      <w:tblGrid>
        <w:gridCol w:w="6774"/>
        <w:gridCol w:w="2870"/>
        <w:gridCol w:w="5577"/>
        <w:gridCol w:w="483"/>
      </w:tblGrid>
      <w:tr w:rsidR="00BC6E90" w:rsidRPr="002B4A51" w14:paraId="15342C38" w14:textId="77777777" w:rsidTr="00BC6E90">
        <w:tc>
          <w:tcPr>
            <w:tcW w:w="2160" w:type="pct"/>
            <w:tcBorders>
              <w:top w:val="single" w:sz="4" w:space="0" w:color="auto"/>
              <w:bottom w:val="single" w:sz="4" w:space="0" w:color="auto"/>
            </w:tcBorders>
          </w:tcPr>
          <w:p w14:paraId="3D174969" w14:textId="77777777" w:rsidR="00BC6E90" w:rsidRPr="002B4A51" w:rsidRDefault="00BC6E90" w:rsidP="002B4A51">
            <w:pPr>
              <w:spacing w:after="0" w:line="360" w:lineRule="auto"/>
              <w:jc w:val="both"/>
              <w:rPr>
                <w:rFonts w:ascii="Arial" w:hAnsi="Arial" w:cs="Arial"/>
                <w:b/>
                <w:sz w:val="24"/>
                <w:szCs w:val="24"/>
              </w:rPr>
            </w:pPr>
            <w:r w:rsidRPr="002B4A51">
              <w:rPr>
                <w:rFonts w:ascii="Arial" w:hAnsi="Arial" w:cs="Arial"/>
                <w:b/>
                <w:sz w:val="24"/>
                <w:szCs w:val="24"/>
              </w:rPr>
              <w:t xml:space="preserve">Function </w:t>
            </w:r>
          </w:p>
        </w:tc>
        <w:tc>
          <w:tcPr>
            <w:tcW w:w="917" w:type="pct"/>
            <w:tcBorders>
              <w:top w:val="single" w:sz="4" w:space="0" w:color="auto"/>
              <w:bottom w:val="single" w:sz="4" w:space="0" w:color="auto"/>
            </w:tcBorders>
          </w:tcPr>
          <w:p w14:paraId="416812B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b/>
                <w:sz w:val="24"/>
                <w:szCs w:val="24"/>
              </w:rPr>
              <w:t>Paradigm</w:t>
            </w:r>
          </w:p>
        </w:tc>
        <w:tc>
          <w:tcPr>
            <w:tcW w:w="1779" w:type="pct"/>
            <w:tcBorders>
              <w:top w:val="single" w:sz="4" w:space="0" w:color="auto"/>
              <w:bottom w:val="single" w:sz="4" w:space="0" w:color="auto"/>
            </w:tcBorders>
          </w:tcPr>
          <w:p w14:paraId="50A3D572" w14:textId="77777777" w:rsidR="00BC6E90" w:rsidRPr="002B4A51" w:rsidRDefault="00BC6E90" w:rsidP="002B4A51">
            <w:pPr>
              <w:spacing w:after="0" w:line="360" w:lineRule="auto"/>
              <w:jc w:val="both"/>
              <w:rPr>
                <w:rFonts w:ascii="Arial" w:hAnsi="Arial" w:cs="Arial"/>
                <w:b/>
                <w:sz w:val="24"/>
                <w:szCs w:val="24"/>
                <w:lang w:val="en-US"/>
              </w:rPr>
            </w:pPr>
            <w:r w:rsidRPr="002B4A51">
              <w:rPr>
                <w:rFonts w:ascii="Arial" w:hAnsi="Arial" w:cs="Arial"/>
                <w:b/>
                <w:sz w:val="24"/>
                <w:szCs w:val="24"/>
                <w:lang w:val="en-US"/>
              </w:rPr>
              <w:t xml:space="preserve">Tasks or tests categorized in paradigm </w:t>
            </w:r>
          </w:p>
        </w:tc>
        <w:tc>
          <w:tcPr>
            <w:tcW w:w="145" w:type="pct"/>
            <w:tcBorders>
              <w:top w:val="single" w:sz="4" w:space="0" w:color="auto"/>
              <w:bottom w:val="single" w:sz="4" w:space="0" w:color="auto"/>
            </w:tcBorders>
          </w:tcPr>
          <w:p w14:paraId="384048C3" w14:textId="77777777" w:rsidR="00BC6E90" w:rsidRPr="002B4A51" w:rsidRDefault="00BC6E90" w:rsidP="002B4A51">
            <w:pPr>
              <w:spacing w:after="0" w:line="360" w:lineRule="auto"/>
              <w:jc w:val="both"/>
              <w:rPr>
                <w:rFonts w:ascii="Arial" w:hAnsi="Arial" w:cs="Arial"/>
                <w:b/>
                <w:sz w:val="24"/>
                <w:szCs w:val="24"/>
              </w:rPr>
            </w:pPr>
            <w:r w:rsidRPr="002B4A51">
              <w:rPr>
                <w:rFonts w:ascii="Arial" w:hAnsi="Arial" w:cs="Arial"/>
                <w:b/>
                <w:i/>
                <w:sz w:val="24"/>
                <w:szCs w:val="24"/>
              </w:rPr>
              <w:t>n</w:t>
            </w:r>
            <w:r w:rsidRPr="002B4A51">
              <w:rPr>
                <w:rFonts w:ascii="Arial" w:hAnsi="Arial" w:cs="Arial"/>
                <w:b/>
                <w:sz w:val="24"/>
                <w:szCs w:val="24"/>
              </w:rPr>
              <w:t xml:space="preserve"> </w:t>
            </w:r>
          </w:p>
        </w:tc>
      </w:tr>
      <w:tr w:rsidR="00BC6E90" w:rsidRPr="002B4A51" w14:paraId="54F99F26" w14:textId="77777777" w:rsidTr="00BC6E90">
        <w:tc>
          <w:tcPr>
            <w:tcW w:w="2160" w:type="pct"/>
            <w:tcBorders>
              <w:top w:val="single" w:sz="4" w:space="0" w:color="auto"/>
              <w:bottom w:val="single" w:sz="4" w:space="0" w:color="auto"/>
            </w:tcBorders>
          </w:tcPr>
          <w:p w14:paraId="0D912FD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Inhibitory control (response inhibition) + cognitive flexibility</w:t>
            </w:r>
          </w:p>
        </w:tc>
        <w:tc>
          <w:tcPr>
            <w:tcW w:w="917" w:type="pct"/>
            <w:tcBorders>
              <w:top w:val="single" w:sz="4" w:space="0" w:color="auto"/>
              <w:bottom w:val="single" w:sz="4" w:space="0" w:color="auto"/>
            </w:tcBorders>
          </w:tcPr>
          <w:p w14:paraId="15E54099"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Simon Effect</w:t>
            </w:r>
          </w:p>
        </w:tc>
        <w:tc>
          <w:tcPr>
            <w:tcW w:w="1779" w:type="pct"/>
            <w:tcBorders>
              <w:top w:val="single" w:sz="4" w:space="0" w:color="auto"/>
              <w:bottom w:val="single" w:sz="4" w:space="0" w:color="auto"/>
            </w:tcBorders>
          </w:tcPr>
          <w:p w14:paraId="16EBD9D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MTT/CANTAB </w:t>
            </w:r>
          </w:p>
        </w:tc>
        <w:tc>
          <w:tcPr>
            <w:tcW w:w="145" w:type="pct"/>
            <w:tcBorders>
              <w:top w:val="single" w:sz="4" w:space="0" w:color="auto"/>
              <w:bottom w:val="single" w:sz="4" w:space="0" w:color="auto"/>
            </w:tcBorders>
          </w:tcPr>
          <w:p w14:paraId="7111DA89"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1</w:t>
            </w:r>
          </w:p>
        </w:tc>
      </w:tr>
      <w:tr w:rsidR="00BC6E90" w:rsidRPr="002B4A51" w14:paraId="7958BFDD" w14:textId="77777777" w:rsidTr="00BC6E90">
        <w:tc>
          <w:tcPr>
            <w:tcW w:w="2160" w:type="pct"/>
            <w:tcBorders>
              <w:top w:val="single" w:sz="4" w:space="0" w:color="auto"/>
            </w:tcBorders>
          </w:tcPr>
          <w:p w14:paraId="075B458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Inhibitory control: response inhibition</w:t>
            </w:r>
          </w:p>
        </w:tc>
        <w:tc>
          <w:tcPr>
            <w:tcW w:w="917" w:type="pct"/>
            <w:tcBorders>
              <w:top w:val="single" w:sz="4" w:space="0" w:color="auto"/>
              <w:bottom w:val="single" w:sz="4" w:space="0" w:color="auto"/>
            </w:tcBorders>
          </w:tcPr>
          <w:p w14:paraId="53863164"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Go/No-Go</w:t>
            </w:r>
          </w:p>
        </w:tc>
        <w:tc>
          <w:tcPr>
            <w:tcW w:w="1779" w:type="pct"/>
            <w:tcBorders>
              <w:top w:val="single" w:sz="4" w:space="0" w:color="auto"/>
              <w:bottom w:val="single" w:sz="4" w:space="0" w:color="auto"/>
            </w:tcBorders>
          </w:tcPr>
          <w:p w14:paraId="5E21A6C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Auditory Attention/COGNITO</w:t>
            </w:r>
          </w:p>
          <w:p w14:paraId="4C07741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Balloon Collector (Stop Signal Task)/Cogsuite</w:t>
            </w:r>
          </w:p>
          <w:p w14:paraId="54FD436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Feature Match/CBS</w:t>
            </w:r>
          </w:p>
          <w:p w14:paraId="130F0D2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Go/No-Go/CEB</w:t>
            </w:r>
          </w:p>
          <w:p w14:paraId="4379338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Go/No-Go/NeuroCog FX</w:t>
            </w:r>
          </w:p>
          <w:p w14:paraId="1BBA235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Go/No-Go/NeurOn</w:t>
            </w:r>
          </w:p>
          <w:p w14:paraId="4EE9EED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Go-NoGo/Neurotrax</w:t>
            </w:r>
          </w:p>
          <w:p w14:paraId="7F7D413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Go/No-Go/OSCT</w:t>
            </w:r>
          </w:p>
          <w:p w14:paraId="033CC0C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 Task/LCCAB</w:t>
            </w:r>
          </w:p>
          <w:p w14:paraId="4CBBDF9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Go-No-Go/C-TOC</w:t>
            </w:r>
          </w:p>
          <w:p w14:paraId="5E7C98A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Inverted Go/No-Go/NeuroCog FX</w:t>
            </w:r>
          </w:p>
          <w:p w14:paraId="6CF8A9B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M3/B-ALA</w:t>
            </w:r>
          </w:p>
          <w:p w14:paraId="1A92A42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PIT/PennCNB</w:t>
            </w:r>
          </w:p>
          <w:p w14:paraId="06B100B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Test of Attentional Vigilance/PEBL</w:t>
            </w:r>
          </w:p>
          <w:p w14:paraId="4F75CA1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TLT-s/INCP</w:t>
            </w:r>
          </w:p>
          <w:p w14:paraId="74D7C5F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Visual Attention/COGNITO </w:t>
            </w:r>
          </w:p>
        </w:tc>
        <w:tc>
          <w:tcPr>
            <w:tcW w:w="145" w:type="pct"/>
            <w:tcBorders>
              <w:top w:val="single" w:sz="4" w:space="0" w:color="auto"/>
              <w:bottom w:val="single" w:sz="4" w:space="0" w:color="auto"/>
            </w:tcBorders>
          </w:tcPr>
          <w:p w14:paraId="14D2E2F0"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16</w:t>
            </w:r>
          </w:p>
        </w:tc>
      </w:tr>
      <w:tr w:rsidR="00BC6E90" w:rsidRPr="002B4A51" w14:paraId="11AC01B4" w14:textId="77777777" w:rsidTr="00BC6E90">
        <w:tc>
          <w:tcPr>
            <w:tcW w:w="2160" w:type="pct"/>
            <w:tcBorders>
              <w:bottom w:val="single" w:sz="4" w:space="0" w:color="auto"/>
            </w:tcBorders>
          </w:tcPr>
          <w:p w14:paraId="5CC587B5"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20F3FF80"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Delay Gratification</w:t>
            </w:r>
          </w:p>
        </w:tc>
        <w:tc>
          <w:tcPr>
            <w:tcW w:w="1779" w:type="pct"/>
            <w:tcBorders>
              <w:top w:val="single" w:sz="4" w:space="0" w:color="auto"/>
              <w:bottom w:val="single" w:sz="4" w:space="0" w:color="auto"/>
            </w:tcBorders>
          </w:tcPr>
          <w:p w14:paraId="4B9D95A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CGT/Cantab</w:t>
            </w:r>
          </w:p>
          <w:p w14:paraId="77843FA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Decision Making Task/PennCNB </w:t>
            </w:r>
          </w:p>
        </w:tc>
        <w:tc>
          <w:tcPr>
            <w:tcW w:w="145" w:type="pct"/>
            <w:tcBorders>
              <w:top w:val="single" w:sz="4" w:space="0" w:color="auto"/>
              <w:bottom w:val="single" w:sz="4" w:space="0" w:color="auto"/>
            </w:tcBorders>
          </w:tcPr>
          <w:p w14:paraId="278AC4C8"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2</w:t>
            </w:r>
          </w:p>
        </w:tc>
      </w:tr>
      <w:tr w:rsidR="00BC6E90" w:rsidRPr="002B4A51" w14:paraId="4CA40A09" w14:textId="77777777" w:rsidTr="00BC6E90">
        <w:tc>
          <w:tcPr>
            <w:tcW w:w="2160" w:type="pct"/>
            <w:tcBorders>
              <w:top w:val="single" w:sz="4" w:space="0" w:color="auto"/>
            </w:tcBorders>
          </w:tcPr>
          <w:p w14:paraId="0ECA101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Inhibitory control: suppression of interference</w:t>
            </w:r>
          </w:p>
        </w:tc>
        <w:tc>
          <w:tcPr>
            <w:tcW w:w="917" w:type="pct"/>
            <w:tcBorders>
              <w:top w:val="single" w:sz="4" w:space="0" w:color="auto"/>
              <w:bottom w:val="single" w:sz="4" w:space="0" w:color="auto"/>
            </w:tcBorders>
          </w:tcPr>
          <w:p w14:paraId="78D7F095"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Stroop</w:t>
            </w:r>
          </w:p>
        </w:tc>
        <w:tc>
          <w:tcPr>
            <w:tcW w:w="1779" w:type="pct"/>
            <w:tcBorders>
              <w:top w:val="single" w:sz="4" w:space="0" w:color="auto"/>
              <w:bottom w:val="single" w:sz="4" w:space="0" w:color="auto"/>
            </w:tcBorders>
          </w:tcPr>
          <w:p w14:paraId="0F35871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Double Trouble/CBS</w:t>
            </w:r>
          </w:p>
          <w:p w14:paraId="138CDDC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Semantic Stroop/CCAB</w:t>
            </w:r>
          </w:p>
          <w:p w14:paraId="1E24829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Stroop/ALLFTD-mAPP</w:t>
            </w:r>
          </w:p>
          <w:p w14:paraId="79B1D0C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Stroop/CCAB</w:t>
            </w:r>
          </w:p>
          <w:p w14:paraId="35A2ABB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Stroop/CNCB</w:t>
            </w:r>
          </w:p>
          <w:p w14:paraId="3CA38F3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Stroop/CNSVS</w:t>
            </w:r>
          </w:p>
          <w:p w14:paraId="69BACA4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Stroop/DCTB</w:t>
            </w:r>
          </w:p>
          <w:p w14:paraId="3DEE418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 Interference/Neurotrax</w:t>
            </w:r>
          </w:p>
          <w:p w14:paraId="7854EC6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 Test/BCBZF</w:t>
            </w:r>
          </w:p>
          <w:p w14:paraId="6CFDF7C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 Test/COGNITO</w:t>
            </w:r>
          </w:p>
          <w:p w14:paraId="66171E0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 Test/Mindmore</w:t>
            </w:r>
          </w:p>
          <w:p w14:paraId="1FE6D35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Stroop Test/SAO</w:t>
            </w:r>
          </w:p>
          <w:p w14:paraId="7545CB26"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 Verbal Interference/CEB </w:t>
            </w:r>
          </w:p>
          <w:p w14:paraId="118F734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Verbal Interference/IntegNeuro</w:t>
            </w:r>
          </w:p>
        </w:tc>
        <w:tc>
          <w:tcPr>
            <w:tcW w:w="145" w:type="pct"/>
            <w:tcBorders>
              <w:top w:val="single" w:sz="4" w:space="0" w:color="auto"/>
              <w:bottom w:val="single" w:sz="4" w:space="0" w:color="auto"/>
            </w:tcBorders>
          </w:tcPr>
          <w:p w14:paraId="47456798"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14 </w:t>
            </w:r>
          </w:p>
        </w:tc>
      </w:tr>
      <w:tr w:rsidR="00BC6E90" w:rsidRPr="002B4A51" w14:paraId="287F146B" w14:textId="77777777" w:rsidTr="00BC6E90">
        <w:tc>
          <w:tcPr>
            <w:tcW w:w="2160" w:type="pct"/>
            <w:tcBorders>
              <w:bottom w:val="single" w:sz="4" w:space="0" w:color="auto"/>
            </w:tcBorders>
          </w:tcPr>
          <w:p w14:paraId="4C21D09D"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484CEC9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i/>
                <w:sz w:val="24"/>
                <w:szCs w:val="24"/>
              </w:rPr>
              <w:t>Antisaccade</w:t>
            </w:r>
          </w:p>
        </w:tc>
        <w:tc>
          <w:tcPr>
            <w:tcW w:w="1779" w:type="pct"/>
            <w:tcBorders>
              <w:top w:val="single" w:sz="4" w:space="0" w:color="auto"/>
              <w:bottom w:val="single" w:sz="4" w:space="0" w:color="auto"/>
            </w:tcBorders>
          </w:tcPr>
          <w:p w14:paraId="4A1DBA6B"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Anti-Saccades/NIH EXAMINER</w:t>
            </w:r>
          </w:p>
        </w:tc>
        <w:tc>
          <w:tcPr>
            <w:tcW w:w="145" w:type="pct"/>
            <w:tcBorders>
              <w:top w:val="single" w:sz="4" w:space="0" w:color="auto"/>
              <w:bottom w:val="single" w:sz="4" w:space="0" w:color="auto"/>
            </w:tcBorders>
          </w:tcPr>
          <w:p w14:paraId="718578F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1</w:t>
            </w:r>
          </w:p>
        </w:tc>
      </w:tr>
      <w:tr w:rsidR="00BC6E90" w:rsidRPr="002B4A51" w14:paraId="72B54911" w14:textId="77777777" w:rsidTr="00BC6E90">
        <w:tc>
          <w:tcPr>
            <w:tcW w:w="2160" w:type="pct"/>
            <w:tcBorders>
              <w:top w:val="single" w:sz="4" w:space="0" w:color="auto"/>
            </w:tcBorders>
          </w:tcPr>
          <w:p w14:paraId="2E3F219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Cognitive flexibility</w:t>
            </w:r>
          </w:p>
          <w:p w14:paraId="46F96E95" w14:textId="77777777" w:rsidR="00BC6E90" w:rsidRPr="002B4A51" w:rsidRDefault="00BC6E90" w:rsidP="002B4A51">
            <w:pPr>
              <w:spacing w:after="0" w:line="360" w:lineRule="auto"/>
              <w:jc w:val="both"/>
              <w:rPr>
                <w:rFonts w:ascii="Arial" w:hAnsi="Arial" w:cs="Arial"/>
                <w:sz w:val="24"/>
                <w:szCs w:val="24"/>
              </w:rPr>
            </w:pPr>
          </w:p>
          <w:p w14:paraId="6A142F34"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2363DF5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Flanker task</w:t>
            </w:r>
          </w:p>
        </w:tc>
        <w:tc>
          <w:tcPr>
            <w:tcW w:w="1779" w:type="pct"/>
            <w:tcBorders>
              <w:top w:val="single" w:sz="4" w:space="0" w:color="auto"/>
              <w:bottom w:val="single" w:sz="4" w:space="0" w:color="auto"/>
            </w:tcBorders>
          </w:tcPr>
          <w:p w14:paraId="497CEE3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Clownfish Commander (Attention Network Task)/Cogsuite</w:t>
            </w:r>
          </w:p>
          <w:p w14:paraId="58CAADD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Flanker/ALLFTD-mAPP</w:t>
            </w:r>
          </w:p>
          <w:p w14:paraId="727CA58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Flanker/B-ALA</w:t>
            </w:r>
          </w:p>
          <w:p w14:paraId="32E6959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Flanker Inhibitory Control and Attention Test/NIH Toolbox </w:t>
            </w:r>
          </w:p>
          <w:p w14:paraId="5304A2A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 Flanker/NIH Toolbox </w:t>
            </w:r>
          </w:p>
        </w:tc>
        <w:tc>
          <w:tcPr>
            <w:tcW w:w="145" w:type="pct"/>
            <w:tcBorders>
              <w:top w:val="single" w:sz="4" w:space="0" w:color="auto"/>
              <w:bottom w:val="single" w:sz="4" w:space="0" w:color="auto"/>
            </w:tcBorders>
          </w:tcPr>
          <w:p w14:paraId="73DFFB36"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5 </w:t>
            </w:r>
          </w:p>
        </w:tc>
      </w:tr>
      <w:tr w:rsidR="00BC6E90" w:rsidRPr="002B4A51" w14:paraId="07A131AB" w14:textId="77777777" w:rsidTr="00BC6E90">
        <w:tc>
          <w:tcPr>
            <w:tcW w:w="2160" w:type="pct"/>
          </w:tcPr>
          <w:p w14:paraId="2FC0F428"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18637A6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Unusual Uses or Design Fluency</w:t>
            </w:r>
          </w:p>
        </w:tc>
        <w:tc>
          <w:tcPr>
            <w:tcW w:w="1779" w:type="pct"/>
            <w:tcBorders>
              <w:top w:val="single" w:sz="4" w:space="0" w:color="auto"/>
              <w:bottom w:val="single" w:sz="4" w:space="0" w:color="auto"/>
            </w:tcBorders>
          </w:tcPr>
          <w:p w14:paraId="3B5C5D8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Design Fluency/CCAB </w:t>
            </w:r>
          </w:p>
          <w:p w14:paraId="617D954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FFT/INCP </w:t>
            </w:r>
          </w:p>
        </w:tc>
        <w:tc>
          <w:tcPr>
            <w:tcW w:w="145" w:type="pct"/>
            <w:tcBorders>
              <w:top w:val="single" w:sz="4" w:space="0" w:color="auto"/>
              <w:bottom w:val="single" w:sz="4" w:space="0" w:color="auto"/>
            </w:tcBorders>
          </w:tcPr>
          <w:p w14:paraId="29D5BC2F"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2</w:t>
            </w:r>
          </w:p>
        </w:tc>
      </w:tr>
      <w:tr w:rsidR="00BC6E90" w:rsidRPr="002B4A51" w14:paraId="45A14761" w14:textId="77777777" w:rsidTr="00BC6E90">
        <w:tc>
          <w:tcPr>
            <w:tcW w:w="2160" w:type="pct"/>
          </w:tcPr>
          <w:p w14:paraId="4DFB1163"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33D6D98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Verbal Fluency</w:t>
            </w:r>
          </w:p>
        </w:tc>
        <w:tc>
          <w:tcPr>
            <w:tcW w:w="1779" w:type="pct"/>
            <w:tcBorders>
              <w:top w:val="single" w:sz="4" w:space="0" w:color="auto"/>
              <w:bottom w:val="single" w:sz="4" w:space="0" w:color="auto"/>
            </w:tcBorders>
          </w:tcPr>
          <w:p w14:paraId="5463223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Animal Fluency/Integneuro</w:t>
            </w:r>
          </w:p>
          <w:p w14:paraId="7A23CD6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Category Fluency/NBACEtn</w:t>
            </w:r>
          </w:p>
          <w:p w14:paraId="4A8CB2B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Category Fluency/NIH EXAMINER</w:t>
            </w:r>
          </w:p>
          <w:p w14:paraId="12B070A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CFT/DCTB</w:t>
            </w:r>
          </w:p>
          <w:p w14:paraId="15DE27D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Letter Fluency/IntegNeuro</w:t>
            </w:r>
          </w:p>
          <w:p w14:paraId="06AAF19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Letter Fluency/NBACEtn</w:t>
            </w:r>
          </w:p>
          <w:p w14:paraId="670223B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Phonemic Fluency/NIH EXAMINER</w:t>
            </w:r>
          </w:p>
          <w:p w14:paraId="581FF2E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Verbal Fluency/B-ALA</w:t>
            </w:r>
          </w:p>
          <w:p w14:paraId="5CB55058"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Verbal Fluency/CCAB</w:t>
            </w:r>
          </w:p>
          <w:p w14:paraId="32D8190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VFA/CNCB</w:t>
            </w:r>
          </w:p>
          <w:p w14:paraId="27462D2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VFT for Animal Category/Hellocog</w:t>
            </w:r>
          </w:p>
          <w:p w14:paraId="4A3F807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Word Fluency/NeuroCog FX</w:t>
            </w:r>
          </w:p>
          <w:p w14:paraId="0131529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Words that Start with/Brainlab AG</w:t>
            </w:r>
          </w:p>
          <w:p w14:paraId="5C3B400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Zeppelin Race (Verbal Fluency Task)/Cogsuite </w:t>
            </w:r>
          </w:p>
        </w:tc>
        <w:tc>
          <w:tcPr>
            <w:tcW w:w="145" w:type="pct"/>
            <w:tcBorders>
              <w:top w:val="single" w:sz="4" w:space="0" w:color="auto"/>
              <w:bottom w:val="single" w:sz="4" w:space="0" w:color="auto"/>
            </w:tcBorders>
          </w:tcPr>
          <w:p w14:paraId="68134093"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14 </w:t>
            </w:r>
          </w:p>
        </w:tc>
      </w:tr>
      <w:tr w:rsidR="00BC6E90" w:rsidRPr="002B4A51" w14:paraId="703E1F4E" w14:textId="77777777" w:rsidTr="00BC6E90">
        <w:tc>
          <w:tcPr>
            <w:tcW w:w="2160" w:type="pct"/>
          </w:tcPr>
          <w:p w14:paraId="573C375E"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3C24F6E7" w14:textId="77777777" w:rsidR="00BC6E90" w:rsidRPr="002B4A51" w:rsidRDefault="00BC6E90" w:rsidP="002B4A51">
            <w:pPr>
              <w:spacing w:after="0" w:line="360" w:lineRule="auto"/>
              <w:jc w:val="both"/>
              <w:rPr>
                <w:rFonts w:ascii="Arial" w:hAnsi="Arial" w:cs="Arial"/>
                <w:sz w:val="24"/>
                <w:szCs w:val="24"/>
                <w:vertAlign w:val="superscript"/>
              </w:rPr>
            </w:pPr>
            <w:r w:rsidRPr="002B4A51">
              <w:rPr>
                <w:rFonts w:ascii="Arial" w:hAnsi="Arial" w:cs="Arial"/>
                <w:i/>
                <w:sz w:val="24"/>
                <w:szCs w:val="24"/>
              </w:rPr>
              <w:t>Task-Switching</w:t>
            </w:r>
          </w:p>
        </w:tc>
        <w:tc>
          <w:tcPr>
            <w:tcW w:w="1779" w:type="pct"/>
            <w:tcBorders>
              <w:top w:val="single" w:sz="4" w:space="0" w:color="auto"/>
              <w:bottom w:val="single" w:sz="4" w:space="0" w:color="auto"/>
            </w:tcBorders>
          </w:tcPr>
          <w:p w14:paraId="7120C90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Auditory Task Switcher/ONAs</w:t>
            </w:r>
          </w:p>
          <w:p w14:paraId="11CC9B2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Automatic Inhibition Subtest of the Syndrom-Kurztest/NBACEtn</w:t>
            </w:r>
          </w:p>
          <w:p w14:paraId="71684AC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Click/NutriCog</w:t>
            </w:r>
          </w:p>
          <w:p w14:paraId="4909B5E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cSTT/CNBC</w:t>
            </w:r>
          </w:p>
          <w:p w14:paraId="1494DB8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DICE/INCP</w:t>
            </w:r>
          </w:p>
          <w:p w14:paraId="2DB5A34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Executive Functioning/NeuroScreen</w:t>
            </w:r>
          </w:p>
          <w:p w14:paraId="2C44C1B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Follow the Order/CogEvo</w:t>
            </w:r>
          </w:p>
          <w:p w14:paraId="64C85FC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IED/Cantab</w:t>
            </w:r>
          </w:p>
          <w:p w14:paraId="760FF88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K-TMT-E/Inbrain CST</w:t>
            </w:r>
          </w:p>
          <w:p w14:paraId="5DBEA16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Patch Points/Neurotrack</w:t>
            </w:r>
          </w:p>
          <w:p w14:paraId="754282D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Route 99/CogEvo</w:t>
            </w:r>
          </w:p>
          <w:p w14:paraId="13A1980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SAT/CNS VS</w:t>
            </w:r>
          </w:p>
          <w:p w14:paraId="3952AB3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Similarities/C-TOC</w:t>
            </w:r>
          </w:p>
          <w:p w14:paraId="3380742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Switching of Attention Task/IntegNeuro</w:t>
            </w:r>
          </w:p>
          <w:p w14:paraId="61F4644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Task-Switching/OSCT</w:t>
            </w:r>
          </w:p>
          <w:p w14:paraId="77B760B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Task-Switching/OSCT</w:t>
            </w:r>
          </w:p>
          <w:p w14:paraId="5106286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TMT/BOCAS</w:t>
            </w:r>
          </w:p>
          <w:p w14:paraId="744965E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TMT/DCTB</w:t>
            </w:r>
          </w:p>
          <w:p w14:paraId="3ED7A21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TMT/Hellocog</w:t>
            </w:r>
          </w:p>
          <w:p w14:paraId="71713AE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TMT/Mindmore</w:t>
            </w:r>
          </w:p>
          <w:p w14:paraId="1FEE33E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TMT-B/CNCB</w:t>
            </w:r>
          </w:p>
          <w:p w14:paraId="104AA39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TMT-B/ReVeRe.D</w:t>
            </w:r>
          </w:p>
          <w:p w14:paraId="1A730DA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 Making Test/CogState</w:t>
            </w:r>
          </w:p>
          <w:p w14:paraId="4ADECCA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 Making/C-TOC</w:t>
            </w:r>
          </w:p>
          <w:p w14:paraId="605E037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 Tasks/B-ALA</w:t>
            </w:r>
          </w:p>
          <w:p w14:paraId="11B82CE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Trail-Making Test/NeurOn</w:t>
            </w:r>
          </w:p>
          <w:p w14:paraId="619E40C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Trail-Making Test/PEBL</w:t>
            </w:r>
          </w:p>
          <w:p w14:paraId="0F27DD0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Trails A &amp; B/CCAB</w:t>
            </w:r>
          </w:p>
          <w:p w14:paraId="07560027"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Visual Task Switcher/ONAs</w:t>
            </w:r>
          </w:p>
        </w:tc>
        <w:tc>
          <w:tcPr>
            <w:tcW w:w="145" w:type="pct"/>
            <w:tcBorders>
              <w:top w:val="single" w:sz="4" w:space="0" w:color="auto"/>
              <w:bottom w:val="single" w:sz="4" w:space="0" w:color="auto"/>
            </w:tcBorders>
          </w:tcPr>
          <w:p w14:paraId="09507FA9"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29</w:t>
            </w:r>
          </w:p>
        </w:tc>
      </w:tr>
      <w:tr w:rsidR="00BC6E90" w:rsidRPr="002B4A51" w14:paraId="17E87055" w14:textId="77777777" w:rsidTr="00BC6E90">
        <w:tc>
          <w:tcPr>
            <w:tcW w:w="2160" w:type="pct"/>
            <w:tcBorders>
              <w:bottom w:val="single" w:sz="4" w:space="0" w:color="auto"/>
            </w:tcBorders>
          </w:tcPr>
          <w:p w14:paraId="1A43D3EC"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3725BD75"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DCCS</w:t>
            </w:r>
          </w:p>
        </w:tc>
        <w:tc>
          <w:tcPr>
            <w:tcW w:w="1779" w:type="pct"/>
            <w:tcBorders>
              <w:top w:val="single" w:sz="4" w:space="0" w:color="auto"/>
              <w:bottom w:val="single" w:sz="4" w:space="0" w:color="auto"/>
            </w:tcBorders>
          </w:tcPr>
          <w:p w14:paraId="3DE1F83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Barg Card Sort Test/PEBL</w:t>
            </w:r>
          </w:p>
          <w:p w14:paraId="20FD019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Card Sort/ALLFTD-mAPP</w:t>
            </w:r>
          </w:p>
          <w:p w14:paraId="2533F2D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DCCS/NIH Toolbox</w:t>
            </w:r>
          </w:p>
          <w:p w14:paraId="54F8509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Dimensional Set Shifting/NIH EXAMINER </w:t>
            </w:r>
          </w:p>
        </w:tc>
        <w:tc>
          <w:tcPr>
            <w:tcW w:w="145" w:type="pct"/>
            <w:tcBorders>
              <w:top w:val="single" w:sz="4" w:space="0" w:color="auto"/>
              <w:bottom w:val="single" w:sz="4" w:space="0" w:color="auto"/>
            </w:tcBorders>
          </w:tcPr>
          <w:p w14:paraId="5539727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4</w:t>
            </w:r>
          </w:p>
        </w:tc>
      </w:tr>
      <w:tr w:rsidR="00BC6E90" w:rsidRPr="002B4A51" w14:paraId="0D56A886" w14:textId="77777777" w:rsidTr="00BC6E90">
        <w:tc>
          <w:tcPr>
            <w:tcW w:w="2160" w:type="pct"/>
            <w:tcBorders>
              <w:top w:val="single" w:sz="4" w:space="0" w:color="auto"/>
            </w:tcBorders>
          </w:tcPr>
          <w:p w14:paraId="4B2A3C74"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Working memory</w:t>
            </w:r>
          </w:p>
        </w:tc>
        <w:tc>
          <w:tcPr>
            <w:tcW w:w="917" w:type="pct"/>
            <w:tcBorders>
              <w:top w:val="single" w:sz="4" w:space="0" w:color="auto"/>
              <w:bottom w:val="single" w:sz="4" w:space="0" w:color="auto"/>
            </w:tcBorders>
          </w:tcPr>
          <w:p w14:paraId="2E5E043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Digit Span or Word Span</w:t>
            </w:r>
          </w:p>
        </w:tc>
        <w:tc>
          <w:tcPr>
            <w:tcW w:w="1779" w:type="pct"/>
            <w:tcBorders>
              <w:top w:val="single" w:sz="4" w:space="0" w:color="auto"/>
              <w:bottom w:val="single" w:sz="4" w:space="0" w:color="auto"/>
            </w:tcBorders>
          </w:tcPr>
          <w:p w14:paraId="67D5405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cDST/CNBC</w:t>
            </w:r>
          </w:p>
          <w:p w14:paraId="7B117169"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Digit Span/CBS </w:t>
            </w:r>
          </w:p>
          <w:p w14:paraId="6738D15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Span/CCAB</w:t>
            </w:r>
          </w:p>
          <w:p w14:paraId="09C4BF5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Span/CEB</w:t>
            </w:r>
          </w:p>
          <w:p w14:paraId="5BEC5AC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Span/IntegNeuro</w:t>
            </w:r>
          </w:p>
          <w:p w14:paraId="15640BD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Span/NBACEtn</w:t>
            </w:r>
          </w:p>
          <w:p w14:paraId="3A26243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Span/NeuroCog FX</w:t>
            </w:r>
          </w:p>
          <w:p w14:paraId="64495E2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 Span/PEBL</w:t>
            </w:r>
          </w:p>
          <w:p w14:paraId="6DACD84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DSBT/CNCB</w:t>
            </w:r>
          </w:p>
          <w:p w14:paraId="1AF1EFC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DSFT-DSBT/ReVeRe.D</w:t>
            </w:r>
          </w:p>
          <w:p w14:paraId="4E88E3A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OSPAN/B-ALA</w:t>
            </w:r>
          </w:p>
          <w:p w14:paraId="74939F7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Paired Associations/CBS</w:t>
            </w:r>
          </w:p>
          <w:p w14:paraId="5E5991D6"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Working Memory/NeuroScreen</w:t>
            </w:r>
          </w:p>
        </w:tc>
        <w:tc>
          <w:tcPr>
            <w:tcW w:w="145" w:type="pct"/>
            <w:tcBorders>
              <w:top w:val="single" w:sz="4" w:space="0" w:color="auto"/>
              <w:bottom w:val="single" w:sz="4" w:space="0" w:color="auto"/>
            </w:tcBorders>
          </w:tcPr>
          <w:p w14:paraId="2D3CB774"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13 </w:t>
            </w:r>
          </w:p>
        </w:tc>
      </w:tr>
      <w:tr w:rsidR="00BC6E90" w:rsidRPr="002B4A51" w14:paraId="08B31B26" w14:textId="77777777" w:rsidTr="00BC6E90">
        <w:tc>
          <w:tcPr>
            <w:tcW w:w="2160" w:type="pct"/>
          </w:tcPr>
          <w:p w14:paraId="508BC5D1"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1D30B20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Corsi Blocks or Dot Matrix</w:t>
            </w:r>
          </w:p>
        </w:tc>
        <w:tc>
          <w:tcPr>
            <w:tcW w:w="1779" w:type="pct"/>
            <w:tcBorders>
              <w:top w:val="single" w:sz="4" w:space="0" w:color="auto"/>
              <w:bottom w:val="single" w:sz="4" w:space="0" w:color="auto"/>
            </w:tcBorders>
          </w:tcPr>
          <w:p w14:paraId="702B6F5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CBTT/SÃO</w:t>
            </w:r>
          </w:p>
          <w:p w14:paraId="4D5C506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CopyKat/NeuroUX</w:t>
            </w:r>
          </w:p>
          <w:p w14:paraId="69853E9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Flash Light/CogEvo</w:t>
            </w:r>
          </w:p>
          <w:p w14:paraId="37BEB8B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LSWM Test/NIH Toolbox</w:t>
            </w:r>
          </w:p>
          <w:p w14:paraId="2AC01A9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Memory Blocks/BOCAS</w:t>
            </w:r>
          </w:p>
          <w:p w14:paraId="26CA01B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Memory Matrix/NeuroUX</w:t>
            </w:r>
          </w:p>
          <w:p w14:paraId="2EB03C38"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Monkey Ladder/CBS</w:t>
            </w:r>
          </w:p>
          <w:p w14:paraId="3A03046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SS/CANTAB</w:t>
            </w:r>
          </w:p>
          <w:p w14:paraId="20CD28B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VST/ Inbrain CST</w:t>
            </w:r>
          </w:p>
          <w:p w14:paraId="799F653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Span of Visual Memory/IntegNeuro</w:t>
            </w:r>
          </w:p>
          <w:p w14:paraId="72FA06E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Spatial Span/CBS</w:t>
            </w:r>
          </w:p>
          <w:p w14:paraId="7CE7C0B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Spatial Span/CCAB</w:t>
            </w:r>
          </w:p>
          <w:p w14:paraId="61D9A6A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 Spatial Span-Backwards/NeurOn, </w:t>
            </w:r>
          </w:p>
        </w:tc>
        <w:tc>
          <w:tcPr>
            <w:tcW w:w="145" w:type="pct"/>
            <w:tcBorders>
              <w:top w:val="single" w:sz="4" w:space="0" w:color="auto"/>
              <w:bottom w:val="single" w:sz="4" w:space="0" w:color="auto"/>
            </w:tcBorders>
          </w:tcPr>
          <w:p w14:paraId="75DBB4C7"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13 </w:t>
            </w:r>
          </w:p>
        </w:tc>
      </w:tr>
      <w:tr w:rsidR="00BC6E90" w:rsidRPr="002B4A51" w14:paraId="64079AC2" w14:textId="77777777" w:rsidTr="00BC6E90">
        <w:tc>
          <w:tcPr>
            <w:tcW w:w="2160" w:type="pct"/>
          </w:tcPr>
          <w:p w14:paraId="5A254729"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6327DF3C"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Self-Ordered Pointing</w:t>
            </w:r>
          </w:p>
        </w:tc>
        <w:tc>
          <w:tcPr>
            <w:tcW w:w="1779" w:type="pct"/>
            <w:tcBorders>
              <w:top w:val="single" w:sz="4" w:space="0" w:color="auto"/>
              <w:bottom w:val="single" w:sz="4" w:space="0" w:color="auto"/>
            </w:tcBorders>
          </w:tcPr>
          <w:p w14:paraId="0BABFDD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AIM/PennCNB </w:t>
            </w:r>
          </w:p>
          <w:p w14:paraId="6036741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BMT/ReVeRe.D</w:t>
            </w:r>
          </w:p>
          <w:p w14:paraId="2410F678"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M2S/WinSCAT</w:t>
            </w:r>
          </w:p>
          <w:p w14:paraId="39CC181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PAL/CANTAB</w:t>
            </w:r>
          </w:p>
          <w:p w14:paraId="65C4CA3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Token Search/CBS</w:t>
            </w:r>
          </w:p>
        </w:tc>
        <w:tc>
          <w:tcPr>
            <w:tcW w:w="145" w:type="pct"/>
            <w:tcBorders>
              <w:top w:val="single" w:sz="4" w:space="0" w:color="auto"/>
              <w:bottom w:val="single" w:sz="4" w:space="0" w:color="auto"/>
            </w:tcBorders>
          </w:tcPr>
          <w:p w14:paraId="498DE7EF"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5</w:t>
            </w:r>
          </w:p>
        </w:tc>
      </w:tr>
      <w:tr w:rsidR="00BC6E90" w:rsidRPr="002B4A51" w14:paraId="78FF1F46" w14:textId="77777777" w:rsidTr="00BC6E90">
        <w:tc>
          <w:tcPr>
            <w:tcW w:w="2160" w:type="pct"/>
            <w:tcBorders>
              <w:top w:val="single" w:sz="4" w:space="0" w:color="auto"/>
              <w:bottom w:val="single" w:sz="4" w:space="0" w:color="auto"/>
            </w:tcBorders>
          </w:tcPr>
          <w:p w14:paraId="12C8E3A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Working memory + sustained attention + inhibitory control (interference suppression)</w:t>
            </w:r>
            <w:r w:rsidRPr="002B4A51">
              <w:rPr>
                <w:rFonts w:ascii="Arial" w:hAnsi="Arial" w:cs="Arial"/>
                <w:sz w:val="24"/>
                <w:szCs w:val="24"/>
                <w:vertAlign w:val="superscript"/>
                <w:lang w:val="en-US"/>
              </w:rPr>
              <w:t xml:space="preserve">*,+ </w:t>
            </w:r>
          </w:p>
        </w:tc>
        <w:tc>
          <w:tcPr>
            <w:tcW w:w="917" w:type="pct"/>
            <w:tcBorders>
              <w:top w:val="single" w:sz="4" w:space="0" w:color="auto"/>
              <w:bottom w:val="single" w:sz="4" w:space="0" w:color="auto"/>
            </w:tcBorders>
          </w:tcPr>
          <w:p w14:paraId="3FD1B1E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CPT</w:t>
            </w:r>
          </w:p>
        </w:tc>
        <w:tc>
          <w:tcPr>
            <w:tcW w:w="1779" w:type="pct"/>
            <w:tcBorders>
              <w:top w:val="single" w:sz="4" w:space="0" w:color="auto"/>
              <w:bottom w:val="single" w:sz="4" w:space="0" w:color="auto"/>
            </w:tcBorders>
          </w:tcPr>
          <w:p w14:paraId="6AA345B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Back/ALLFTD-mAPP</w:t>
            </w:r>
          </w:p>
          <w:p w14:paraId="14B6199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Clock Judgement/BOCAS </w:t>
            </w:r>
          </w:p>
          <w:p w14:paraId="2900210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Continuous Addition/BOCAS</w:t>
            </w:r>
          </w:p>
          <w:p w14:paraId="04FFD05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Continuous Perfomance Task/IntegNeuro</w:t>
            </w:r>
          </w:p>
          <w:p w14:paraId="64E8D91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Continuous Performance Test/CEB</w:t>
            </w:r>
          </w:p>
          <w:p w14:paraId="53DE5E9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CPT/CNS VS</w:t>
            </w:r>
          </w:p>
          <w:p w14:paraId="14DFA90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CPT/NIH EXAMINER</w:t>
            </w:r>
          </w:p>
          <w:p w14:paraId="6363AFF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CPT/WinSCAT</w:t>
            </w:r>
          </w:p>
          <w:p w14:paraId="02630C8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Dot Counting/NIH EXAMINER</w:t>
            </w:r>
          </w:p>
          <w:p w14:paraId="2CE33596"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Enumeration/OSCT</w:t>
            </w:r>
          </w:p>
          <w:p w14:paraId="238B7FF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Fractal 2-Back/Cognition</w:t>
            </w:r>
          </w:p>
          <w:p w14:paraId="39B98B6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Multiple-Objects Tracking Task/OSCT </w:t>
            </w:r>
          </w:p>
          <w:p w14:paraId="1E26231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n-Back/NIH Examiner</w:t>
            </w:r>
          </w:p>
          <w:p w14:paraId="381C40E8"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PASAT/Mindmore</w:t>
            </w:r>
          </w:p>
          <w:p w14:paraId="2EF2D62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Psychomotor Vigilance Test/Cognition</w:t>
            </w:r>
          </w:p>
          <w:p w14:paraId="350F6AA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PVSAT-2/BCBZF</w:t>
            </w:r>
          </w:p>
          <w:p w14:paraId="2B7AFDC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Quick Tap 1 &amp; 2/NeuroUX</w:t>
            </w:r>
          </w:p>
          <w:p w14:paraId="286794B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Quickbot Inspector (N-Back Task)/Cogsuite</w:t>
            </w:r>
          </w:p>
          <w:p w14:paraId="28C0F1E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SART/SÃO</w:t>
            </w:r>
          </w:p>
          <w:p w14:paraId="0D0CA7A0"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Sustained Auditory Attention/ONAs</w:t>
            </w:r>
          </w:p>
          <w:p w14:paraId="398758E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Sustained Visual Attention/ONAs</w:t>
            </w:r>
          </w:p>
          <w:p w14:paraId="186A5D1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TDT/INCP</w:t>
            </w:r>
          </w:p>
          <w:p w14:paraId="4382775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Two Back Test/NeuroCog FX</w:t>
            </w:r>
          </w:p>
          <w:p w14:paraId="7F29876A"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Working Memory Task/LCCAB</w:t>
            </w:r>
          </w:p>
        </w:tc>
        <w:tc>
          <w:tcPr>
            <w:tcW w:w="145" w:type="pct"/>
            <w:tcBorders>
              <w:top w:val="single" w:sz="4" w:space="0" w:color="auto"/>
              <w:bottom w:val="single" w:sz="4" w:space="0" w:color="auto"/>
            </w:tcBorders>
          </w:tcPr>
          <w:p w14:paraId="773CF7E6"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24</w:t>
            </w:r>
          </w:p>
        </w:tc>
      </w:tr>
      <w:tr w:rsidR="00BC6E90" w:rsidRPr="002B4A51" w14:paraId="33BA6AC0" w14:textId="77777777" w:rsidTr="00BC6E90">
        <w:tc>
          <w:tcPr>
            <w:tcW w:w="2160" w:type="pct"/>
            <w:tcBorders>
              <w:top w:val="single" w:sz="4" w:space="0" w:color="auto"/>
              <w:bottom w:val="single" w:sz="4" w:space="0" w:color="auto"/>
            </w:tcBorders>
          </w:tcPr>
          <w:p w14:paraId="6E5FAFD8"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Cognitive flexibility + working memory </w:t>
            </w:r>
          </w:p>
        </w:tc>
        <w:tc>
          <w:tcPr>
            <w:tcW w:w="917" w:type="pct"/>
            <w:tcBorders>
              <w:top w:val="single" w:sz="4" w:space="0" w:color="auto"/>
              <w:bottom w:val="single" w:sz="4" w:space="0" w:color="auto"/>
            </w:tcBorders>
          </w:tcPr>
          <w:p w14:paraId="67E9F591"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DSST</w:t>
            </w:r>
          </w:p>
        </w:tc>
        <w:tc>
          <w:tcPr>
            <w:tcW w:w="1779" w:type="pct"/>
            <w:tcBorders>
              <w:top w:val="single" w:sz="4" w:space="0" w:color="auto"/>
              <w:bottom w:val="single" w:sz="4" w:space="0" w:color="auto"/>
            </w:tcBorders>
          </w:tcPr>
          <w:p w14:paraId="157E9E8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DSST/CNCB</w:t>
            </w:r>
          </w:p>
          <w:p w14:paraId="3593AB1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DST/INCP</w:t>
            </w:r>
          </w:p>
          <w:p w14:paraId="7D18086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Digit-Symbol Substitution Task/Cognition</w:t>
            </w:r>
          </w:p>
          <w:p w14:paraId="1E06DF8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Oral Symbol Digit Test/NIH Toolbox</w:t>
            </w:r>
          </w:p>
          <w:p w14:paraId="08B96FBF"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SDC/CNS VS</w:t>
            </w:r>
          </w:p>
          <w:p w14:paraId="4D00ACFB"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SDMaT/ReVeRe.D</w:t>
            </w:r>
          </w:p>
          <w:p w14:paraId="2DF8F4A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SDMT/BCBZF</w:t>
            </w:r>
          </w:p>
          <w:p w14:paraId="42CF3C0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SDMT/Mindmore</w:t>
            </w:r>
          </w:p>
          <w:p w14:paraId="233DE42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SST/ReVeRe.D</w:t>
            </w:r>
          </w:p>
          <w:p w14:paraId="18678F2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Symbol-Digit Matching/C-TOC</w:t>
            </w:r>
          </w:p>
          <w:p w14:paraId="57ECA2B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Symbol Match/Neurotrack</w:t>
            </w:r>
          </w:p>
          <w:p w14:paraId="2C2B198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Symbol-Number Coding/CCAB</w:t>
            </w:r>
          </w:p>
          <w:p w14:paraId="0C7E273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Zookeeper Match (Substituition Task)/Cogsuite </w:t>
            </w:r>
          </w:p>
        </w:tc>
        <w:tc>
          <w:tcPr>
            <w:tcW w:w="145" w:type="pct"/>
            <w:tcBorders>
              <w:top w:val="single" w:sz="4" w:space="0" w:color="auto"/>
              <w:bottom w:val="single" w:sz="4" w:space="0" w:color="auto"/>
            </w:tcBorders>
          </w:tcPr>
          <w:p w14:paraId="5EB3D334"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13</w:t>
            </w:r>
          </w:p>
        </w:tc>
      </w:tr>
      <w:tr w:rsidR="00BC6E90" w:rsidRPr="002B4A51" w14:paraId="50095F51" w14:textId="77777777" w:rsidTr="00BC6E90">
        <w:tc>
          <w:tcPr>
            <w:tcW w:w="2160" w:type="pct"/>
            <w:tcBorders>
              <w:top w:val="single" w:sz="4" w:space="0" w:color="auto"/>
              <w:bottom w:val="single" w:sz="4" w:space="0" w:color="auto"/>
            </w:tcBorders>
          </w:tcPr>
          <w:p w14:paraId="119E2111" w14:textId="77777777" w:rsidR="00BC6E90" w:rsidRPr="002B4A51" w:rsidRDefault="00BC6E90" w:rsidP="002B4A51">
            <w:pPr>
              <w:spacing w:after="0" w:line="360" w:lineRule="auto"/>
              <w:jc w:val="both"/>
              <w:rPr>
                <w:rFonts w:ascii="Arial" w:hAnsi="Arial" w:cs="Arial"/>
                <w:sz w:val="24"/>
                <w:szCs w:val="24"/>
              </w:rPr>
            </w:pPr>
          </w:p>
        </w:tc>
        <w:tc>
          <w:tcPr>
            <w:tcW w:w="917" w:type="pct"/>
            <w:tcBorders>
              <w:top w:val="single" w:sz="4" w:space="0" w:color="auto"/>
              <w:bottom w:val="single" w:sz="4" w:space="0" w:color="auto"/>
            </w:tcBorders>
          </w:tcPr>
          <w:p w14:paraId="7A67506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Symbol Search </w:t>
            </w:r>
          </w:p>
        </w:tc>
        <w:tc>
          <w:tcPr>
            <w:tcW w:w="1779" w:type="pct"/>
            <w:tcBorders>
              <w:top w:val="single" w:sz="4" w:space="0" w:color="auto"/>
              <w:bottom w:val="single" w:sz="4" w:space="0" w:color="auto"/>
            </w:tcBorders>
          </w:tcPr>
          <w:p w14:paraId="6885823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Processing Speed/NeuroScreen</w:t>
            </w:r>
          </w:p>
          <w:p w14:paraId="64E0AA4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Pattern Comparison Processing Speed Test/NIH Toolbox</w:t>
            </w:r>
          </w:p>
          <w:p w14:paraId="19F15823"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Codesub/WinSCAT</w:t>
            </w:r>
          </w:p>
        </w:tc>
        <w:tc>
          <w:tcPr>
            <w:tcW w:w="145" w:type="pct"/>
            <w:tcBorders>
              <w:top w:val="single" w:sz="4" w:space="0" w:color="auto"/>
              <w:bottom w:val="single" w:sz="4" w:space="0" w:color="auto"/>
            </w:tcBorders>
          </w:tcPr>
          <w:p w14:paraId="5ACEF13C"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3</w:t>
            </w:r>
          </w:p>
        </w:tc>
      </w:tr>
      <w:tr w:rsidR="00BC6E90" w:rsidRPr="002B4A51" w14:paraId="7CC08A82" w14:textId="77777777" w:rsidTr="00BC6E90">
        <w:tc>
          <w:tcPr>
            <w:tcW w:w="2160" w:type="pct"/>
            <w:tcBorders>
              <w:top w:val="single" w:sz="4" w:space="0" w:color="auto"/>
              <w:bottom w:val="single" w:sz="4" w:space="0" w:color="auto"/>
            </w:tcBorders>
          </w:tcPr>
          <w:p w14:paraId="129A7C12"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Eductive Reasoning </w:t>
            </w:r>
          </w:p>
        </w:tc>
        <w:tc>
          <w:tcPr>
            <w:tcW w:w="917" w:type="pct"/>
            <w:tcBorders>
              <w:top w:val="single" w:sz="4" w:space="0" w:color="auto"/>
              <w:bottom w:val="single" w:sz="4" w:space="0" w:color="auto"/>
            </w:tcBorders>
          </w:tcPr>
          <w:p w14:paraId="4B96899E"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Progressive Matrices</w:t>
            </w:r>
          </w:p>
        </w:tc>
        <w:tc>
          <w:tcPr>
            <w:tcW w:w="1779" w:type="pct"/>
            <w:tcBorders>
              <w:top w:val="single" w:sz="4" w:space="0" w:color="auto"/>
              <w:bottom w:val="single" w:sz="4" w:space="0" w:color="auto"/>
            </w:tcBorders>
          </w:tcPr>
          <w:p w14:paraId="692A4C6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CRPM/PennCNB</w:t>
            </w:r>
          </w:p>
          <w:p w14:paraId="16C1519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Matrix Reasoning Test/Cognition</w:t>
            </w:r>
          </w:p>
          <w:p w14:paraId="1163458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Problem Solving/Neurotrax</w:t>
            </w:r>
          </w:p>
          <w:p w14:paraId="28700133"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Visuospatial Reasoning/COGNITO</w:t>
            </w:r>
          </w:p>
          <w:p w14:paraId="6BEAC63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 Visual Reasoning Test/NIH Toolbox </w:t>
            </w:r>
          </w:p>
        </w:tc>
        <w:tc>
          <w:tcPr>
            <w:tcW w:w="145" w:type="pct"/>
            <w:tcBorders>
              <w:top w:val="single" w:sz="4" w:space="0" w:color="auto"/>
              <w:bottom w:val="single" w:sz="4" w:space="0" w:color="auto"/>
            </w:tcBorders>
          </w:tcPr>
          <w:p w14:paraId="28C3DB4B"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5</w:t>
            </w:r>
          </w:p>
        </w:tc>
      </w:tr>
      <w:tr w:rsidR="00BC6E90" w:rsidRPr="002B4A51" w14:paraId="6BCD7342" w14:textId="77777777" w:rsidTr="00BC6E90">
        <w:tc>
          <w:tcPr>
            <w:tcW w:w="2160" w:type="pct"/>
            <w:tcBorders>
              <w:top w:val="single" w:sz="4" w:space="0" w:color="auto"/>
              <w:bottom w:val="single" w:sz="4" w:space="0" w:color="auto"/>
            </w:tcBorders>
          </w:tcPr>
          <w:p w14:paraId="018E9B43"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Planning</w:t>
            </w:r>
          </w:p>
        </w:tc>
        <w:tc>
          <w:tcPr>
            <w:tcW w:w="917" w:type="pct"/>
            <w:tcBorders>
              <w:top w:val="single" w:sz="4" w:space="0" w:color="auto"/>
              <w:bottom w:val="single" w:sz="4" w:space="0" w:color="auto"/>
            </w:tcBorders>
          </w:tcPr>
          <w:p w14:paraId="56E6FA88"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SAS</w:t>
            </w:r>
          </w:p>
        </w:tc>
        <w:tc>
          <w:tcPr>
            <w:tcW w:w="1779" w:type="pct"/>
            <w:tcBorders>
              <w:top w:val="single" w:sz="4" w:space="0" w:color="auto"/>
              <w:bottom w:val="single" w:sz="4" w:space="0" w:color="auto"/>
            </w:tcBorders>
          </w:tcPr>
          <w:p w14:paraId="76261F27"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Hampshire Tree Task/CBS</w:t>
            </w:r>
          </w:p>
          <w:p w14:paraId="2F86081D"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Maze/CEB</w:t>
            </w:r>
          </w:p>
          <w:p w14:paraId="43F21E92"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Maze Task/IntegNeuro</w:t>
            </w:r>
          </w:p>
          <w:p w14:paraId="3A8B9F4E"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Maze A&amp;B/NutriCog</w:t>
            </w:r>
          </w:p>
          <w:p w14:paraId="196B4C21"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SOC/Cantab</w:t>
            </w:r>
          </w:p>
          <w:p w14:paraId="44544AD5"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Square Puzzles/C-TOC</w:t>
            </w:r>
          </w:p>
          <w:p w14:paraId="70C793BC"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Tower of Hanoi/Mindmore</w:t>
            </w:r>
          </w:p>
          <w:p w14:paraId="337B82A4" w14:textId="77777777" w:rsidR="00BC6E90"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Tower-of-London/PEBL</w:t>
            </w:r>
          </w:p>
          <w:p w14:paraId="244FA46C"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 Unstructured Task/NIH Examiner </w:t>
            </w:r>
          </w:p>
        </w:tc>
        <w:tc>
          <w:tcPr>
            <w:tcW w:w="145" w:type="pct"/>
            <w:tcBorders>
              <w:top w:val="single" w:sz="4" w:space="0" w:color="auto"/>
              <w:bottom w:val="single" w:sz="4" w:space="0" w:color="auto"/>
            </w:tcBorders>
          </w:tcPr>
          <w:p w14:paraId="1E638AB8"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9</w:t>
            </w:r>
          </w:p>
        </w:tc>
      </w:tr>
      <w:tr w:rsidR="00BC6E90" w:rsidRPr="002B4A51" w14:paraId="0735A901" w14:textId="77777777" w:rsidTr="00BC6E90">
        <w:tc>
          <w:tcPr>
            <w:tcW w:w="2160" w:type="pct"/>
            <w:tcBorders>
              <w:top w:val="single" w:sz="4" w:space="0" w:color="auto"/>
              <w:bottom w:val="single" w:sz="4" w:space="0" w:color="auto"/>
            </w:tcBorders>
          </w:tcPr>
          <w:p w14:paraId="43CB9094"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Problem-solving </w:t>
            </w:r>
          </w:p>
        </w:tc>
        <w:tc>
          <w:tcPr>
            <w:tcW w:w="917" w:type="pct"/>
            <w:tcBorders>
              <w:top w:val="single" w:sz="4" w:space="0" w:color="auto"/>
              <w:bottom w:val="single" w:sz="4" w:space="0" w:color="auto"/>
            </w:tcBorders>
          </w:tcPr>
          <w:p w14:paraId="7376634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Mathematical Problems</w:t>
            </w:r>
          </w:p>
        </w:tc>
        <w:tc>
          <w:tcPr>
            <w:tcW w:w="1779" w:type="pct"/>
            <w:tcBorders>
              <w:top w:val="single" w:sz="4" w:space="0" w:color="auto"/>
              <w:bottom w:val="single" w:sz="4" w:space="0" w:color="auto"/>
            </w:tcBorders>
          </w:tcPr>
          <w:p w14:paraId="1FCC12CF"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 Math/WinSCAT </w:t>
            </w:r>
          </w:p>
        </w:tc>
        <w:tc>
          <w:tcPr>
            <w:tcW w:w="145" w:type="pct"/>
            <w:tcBorders>
              <w:top w:val="single" w:sz="4" w:space="0" w:color="auto"/>
              <w:bottom w:val="single" w:sz="4" w:space="0" w:color="auto"/>
            </w:tcBorders>
          </w:tcPr>
          <w:p w14:paraId="72FA4BAA" w14:textId="77777777" w:rsidR="00BC6E90" w:rsidRPr="002B4A51" w:rsidRDefault="00BC6E90" w:rsidP="002B4A51">
            <w:pPr>
              <w:spacing w:after="0" w:line="360" w:lineRule="auto"/>
              <w:jc w:val="both"/>
              <w:rPr>
                <w:rFonts w:ascii="Arial" w:hAnsi="Arial" w:cs="Arial"/>
                <w:sz w:val="24"/>
                <w:szCs w:val="24"/>
              </w:rPr>
            </w:pPr>
            <w:r w:rsidRPr="002B4A51">
              <w:rPr>
                <w:rFonts w:ascii="Arial" w:hAnsi="Arial" w:cs="Arial"/>
                <w:sz w:val="24"/>
                <w:szCs w:val="24"/>
              </w:rPr>
              <w:t xml:space="preserve">1 </w:t>
            </w:r>
          </w:p>
        </w:tc>
      </w:tr>
    </w:tbl>
    <w:p w14:paraId="30A142BD" w14:textId="77777777" w:rsidR="007F1142" w:rsidRPr="002B4A51" w:rsidRDefault="00BC6E90" w:rsidP="002B4A51">
      <w:pPr>
        <w:spacing w:after="0" w:line="360" w:lineRule="auto"/>
        <w:jc w:val="both"/>
        <w:rPr>
          <w:rFonts w:ascii="Arial" w:hAnsi="Arial" w:cs="Arial"/>
          <w:sz w:val="24"/>
          <w:szCs w:val="24"/>
          <w:lang w:val="en-US"/>
        </w:rPr>
      </w:pPr>
      <w:r w:rsidRPr="002B4A51">
        <w:rPr>
          <w:rFonts w:ascii="Arial" w:hAnsi="Arial" w:cs="Arial"/>
          <w:sz w:val="24"/>
          <w:szCs w:val="24"/>
          <w:lang w:val="en-US"/>
        </w:rPr>
        <w:t xml:space="preserve">See Tables 1, 2 and 3 for acronyms and abbreviations. </w:t>
      </w:r>
    </w:p>
    <w:p w14:paraId="358A090E" w14:textId="77777777" w:rsidR="00BC6E90" w:rsidRPr="002B4A51" w:rsidRDefault="00BC6E90" w:rsidP="002B4A51">
      <w:pPr>
        <w:spacing w:after="0" w:line="360" w:lineRule="auto"/>
        <w:jc w:val="both"/>
        <w:rPr>
          <w:rFonts w:ascii="Arial" w:hAnsi="Arial" w:cs="Arial"/>
          <w:b/>
          <w:sz w:val="24"/>
          <w:szCs w:val="24"/>
          <w:lang w:val="en-US"/>
        </w:rPr>
      </w:pPr>
    </w:p>
    <w:p w14:paraId="0B8A2100" w14:textId="77777777" w:rsidR="00BC6E90" w:rsidRPr="002B4A51" w:rsidRDefault="00BC6E90" w:rsidP="002B4A51">
      <w:pPr>
        <w:spacing w:after="0" w:line="360" w:lineRule="auto"/>
        <w:jc w:val="both"/>
        <w:rPr>
          <w:rFonts w:ascii="Arial" w:hAnsi="Arial" w:cs="Arial"/>
          <w:b/>
          <w:sz w:val="24"/>
          <w:szCs w:val="24"/>
          <w:lang w:val="en-US"/>
        </w:rPr>
      </w:pPr>
    </w:p>
    <w:sectPr w:rsidR="00BC6E90" w:rsidRPr="002B4A51" w:rsidSect="007F1142">
      <w:footnotePr>
        <w:numFmt w:val="chicago"/>
      </w:footnotePr>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B13E" w14:textId="77777777" w:rsidR="009224D0" w:rsidRDefault="009224D0" w:rsidP="00EE437E">
      <w:pPr>
        <w:spacing w:after="0" w:line="240" w:lineRule="auto"/>
      </w:pPr>
      <w:r>
        <w:separator/>
      </w:r>
    </w:p>
  </w:endnote>
  <w:endnote w:type="continuationSeparator" w:id="0">
    <w:p w14:paraId="27900857" w14:textId="77777777" w:rsidR="009224D0" w:rsidRDefault="009224D0" w:rsidP="00EE4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389BA" w14:textId="77777777" w:rsidR="009224D0" w:rsidRDefault="009224D0" w:rsidP="00EE437E">
      <w:pPr>
        <w:spacing w:after="0" w:line="240" w:lineRule="auto"/>
      </w:pPr>
      <w:r>
        <w:separator/>
      </w:r>
    </w:p>
  </w:footnote>
  <w:footnote w:type="continuationSeparator" w:id="0">
    <w:p w14:paraId="4B197306" w14:textId="77777777" w:rsidR="009224D0" w:rsidRDefault="009224D0" w:rsidP="00EE43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85"/>
    <w:rsid w:val="001451DE"/>
    <w:rsid w:val="00163685"/>
    <w:rsid w:val="00200668"/>
    <w:rsid w:val="002A7634"/>
    <w:rsid w:val="002B4A51"/>
    <w:rsid w:val="002C1959"/>
    <w:rsid w:val="00302F32"/>
    <w:rsid w:val="0036046F"/>
    <w:rsid w:val="004314FB"/>
    <w:rsid w:val="00444B2F"/>
    <w:rsid w:val="004C3233"/>
    <w:rsid w:val="006D575C"/>
    <w:rsid w:val="007034BF"/>
    <w:rsid w:val="007F1142"/>
    <w:rsid w:val="0090454E"/>
    <w:rsid w:val="00910063"/>
    <w:rsid w:val="009224D0"/>
    <w:rsid w:val="00AB7808"/>
    <w:rsid w:val="00BC6E90"/>
    <w:rsid w:val="00BF74BD"/>
    <w:rsid w:val="00CD7176"/>
    <w:rsid w:val="00EE437E"/>
    <w:rsid w:val="00F81B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28E5"/>
  <w15:chartTrackingRefBased/>
  <w15:docId w15:val="{40A4ECE3-AC4A-4A52-B061-372A2D93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E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EE437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E437E"/>
    <w:rPr>
      <w:noProof/>
      <w:sz w:val="20"/>
      <w:szCs w:val="20"/>
    </w:rPr>
  </w:style>
  <w:style w:type="character" w:styleId="Refdenotaderodap">
    <w:name w:val="footnote reference"/>
    <w:basedOn w:val="Fontepargpadro"/>
    <w:uiPriority w:val="99"/>
    <w:semiHidden/>
    <w:unhideWhenUsed/>
    <w:rsid w:val="00EE4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25820">
      <w:bodyDiv w:val="1"/>
      <w:marLeft w:val="0"/>
      <w:marRight w:val="0"/>
      <w:marTop w:val="0"/>
      <w:marBottom w:val="0"/>
      <w:divBdr>
        <w:top w:val="none" w:sz="0" w:space="0" w:color="auto"/>
        <w:left w:val="none" w:sz="0" w:space="0" w:color="auto"/>
        <w:bottom w:val="none" w:sz="0" w:space="0" w:color="auto"/>
        <w:right w:val="none" w:sz="0" w:space="0" w:color="auto"/>
      </w:divBdr>
      <w:divsChild>
        <w:div w:id="1142501382">
          <w:marLeft w:val="0"/>
          <w:marRight w:val="0"/>
          <w:marTop w:val="0"/>
          <w:marBottom w:val="0"/>
          <w:divBdr>
            <w:top w:val="none" w:sz="0" w:space="0" w:color="auto"/>
            <w:left w:val="none" w:sz="0" w:space="0" w:color="auto"/>
            <w:bottom w:val="none" w:sz="0" w:space="0" w:color="auto"/>
            <w:right w:val="none" w:sz="0" w:space="0" w:color="auto"/>
          </w:divBdr>
        </w:div>
      </w:divsChild>
    </w:div>
    <w:div w:id="218135024">
      <w:bodyDiv w:val="1"/>
      <w:marLeft w:val="0"/>
      <w:marRight w:val="0"/>
      <w:marTop w:val="0"/>
      <w:marBottom w:val="0"/>
      <w:divBdr>
        <w:top w:val="none" w:sz="0" w:space="0" w:color="auto"/>
        <w:left w:val="none" w:sz="0" w:space="0" w:color="auto"/>
        <w:bottom w:val="none" w:sz="0" w:space="0" w:color="auto"/>
        <w:right w:val="none" w:sz="0" w:space="0" w:color="auto"/>
      </w:divBdr>
      <w:divsChild>
        <w:div w:id="921260022">
          <w:marLeft w:val="0"/>
          <w:marRight w:val="0"/>
          <w:marTop w:val="0"/>
          <w:marBottom w:val="0"/>
          <w:divBdr>
            <w:top w:val="none" w:sz="0" w:space="0" w:color="auto"/>
            <w:left w:val="none" w:sz="0" w:space="0" w:color="auto"/>
            <w:bottom w:val="none" w:sz="0" w:space="0" w:color="auto"/>
            <w:right w:val="none" w:sz="0" w:space="0" w:color="auto"/>
          </w:divBdr>
          <w:divsChild>
            <w:div w:id="943463751">
              <w:marLeft w:val="0"/>
              <w:marRight w:val="0"/>
              <w:marTop w:val="0"/>
              <w:marBottom w:val="0"/>
              <w:divBdr>
                <w:top w:val="none" w:sz="0" w:space="0" w:color="auto"/>
                <w:left w:val="none" w:sz="0" w:space="0" w:color="auto"/>
                <w:bottom w:val="none" w:sz="0" w:space="0" w:color="auto"/>
                <w:right w:val="none" w:sz="0" w:space="0" w:color="auto"/>
              </w:divBdr>
              <w:divsChild>
                <w:div w:id="1040668910">
                  <w:marLeft w:val="0"/>
                  <w:marRight w:val="0"/>
                  <w:marTop w:val="0"/>
                  <w:marBottom w:val="0"/>
                  <w:divBdr>
                    <w:top w:val="none" w:sz="0" w:space="0" w:color="auto"/>
                    <w:left w:val="none" w:sz="0" w:space="0" w:color="auto"/>
                    <w:bottom w:val="none" w:sz="0" w:space="0" w:color="auto"/>
                    <w:right w:val="none" w:sz="0" w:space="0" w:color="auto"/>
                  </w:divBdr>
                  <w:divsChild>
                    <w:div w:id="267666722">
                      <w:marLeft w:val="0"/>
                      <w:marRight w:val="0"/>
                      <w:marTop w:val="0"/>
                      <w:marBottom w:val="0"/>
                      <w:divBdr>
                        <w:top w:val="none" w:sz="0" w:space="0" w:color="auto"/>
                        <w:left w:val="none" w:sz="0" w:space="0" w:color="auto"/>
                        <w:bottom w:val="none" w:sz="0" w:space="0" w:color="auto"/>
                        <w:right w:val="none" w:sz="0" w:space="0" w:color="auto"/>
                      </w:divBdr>
                      <w:divsChild>
                        <w:div w:id="523444357">
                          <w:marLeft w:val="0"/>
                          <w:marRight w:val="0"/>
                          <w:marTop w:val="0"/>
                          <w:marBottom w:val="0"/>
                          <w:divBdr>
                            <w:top w:val="none" w:sz="0" w:space="0" w:color="auto"/>
                            <w:left w:val="none" w:sz="0" w:space="0" w:color="auto"/>
                            <w:bottom w:val="none" w:sz="0" w:space="0" w:color="auto"/>
                            <w:right w:val="none" w:sz="0" w:space="0" w:color="auto"/>
                          </w:divBdr>
                          <w:divsChild>
                            <w:div w:id="1189834630">
                              <w:marLeft w:val="0"/>
                              <w:marRight w:val="0"/>
                              <w:marTop w:val="0"/>
                              <w:marBottom w:val="0"/>
                              <w:divBdr>
                                <w:top w:val="none" w:sz="0" w:space="0" w:color="auto"/>
                                <w:left w:val="none" w:sz="0" w:space="0" w:color="auto"/>
                                <w:bottom w:val="none" w:sz="0" w:space="0" w:color="auto"/>
                                <w:right w:val="none" w:sz="0" w:space="0" w:color="auto"/>
                              </w:divBdr>
                              <w:divsChild>
                                <w:div w:id="733116213">
                                  <w:marLeft w:val="0"/>
                                  <w:marRight w:val="0"/>
                                  <w:marTop w:val="0"/>
                                  <w:marBottom w:val="0"/>
                                  <w:divBdr>
                                    <w:top w:val="none" w:sz="0" w:space="0" w:color="auto"/>
                                    <w:left w:val="none" w:sz="0" w:space="0" w:color="auto"/>
                                    <w:bottom w:val="none" w:sz="0" w:space="0" w:color="auto"/>
                                    <w:right w:val="none" w:sz="0" w:space="0" w:color="auto"/>
                                  </w:divBdr>
                                  <w:divsChild>
                                    <w:div w:id="5529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530686">
      <w:bodyDiv w:val="1"/>
      <w:marLeft w:val="0"/>
      <w:marRight w:val="0"/>
      <w:marTop w:val="0"/>
      <w:marBottom w:val="0"/>
      <w:divBdr>
        <w:top w:val="none" w:sz="0" w:space="0" w:color="auto"/>
        <w:left w:val="none" w:sz="0" w:space="0" w:color="auto"/>
        <w:bottom w:val="none" w:sz="0" w:space="0" w:color="auto"/>
        <w:right w:val="none" w:sz="0" w:space="0" w:color="auto"/>
      </w:divBdr>
      <w:divsChild>
        <w:div w:id="1064983262">
          <w:marLeft w:val="0"/>
          <w:marRight w:val="0"/>
          <w:marTop w:val="0"/>
          <w:marBottom w:val="0"/>
          <w:divBdr>
            <w:top w:val="none" w:sz="0" w:space="0" w:color="auto"/>
            <w:left w:val="none" w:sz="0" w:space="0" w:color="auto"/>
            <w:bottom w:val="none" w:sz="0" w:space="0" w:color="auto"/>
            <w:right w:val="none" w:sz="0" w:space="0" w:color="auto"/>
          </w:divBdr>
        </w:div>
      </w:divsChild>
    </w:div>
    <w:div w:id="274674296">
      <w:bodyDiv w:val="1"/>
      <w:marLeft w:val="0"/>
      <w:marRight w:val="0"/>
      <w:marTop w:val="0"/>
      <w:marBottom w:val="0"/>
      <w:divBdr>
        <w:top w:val="none" w:sz="0" w:space="0" w:color="auto"/>
        <w:left w:val="none" w:sz="0" w:space="0" w:color="auto"/>
        <w:bottom w:val="none" w:sz="0" w:space="0" w:color="auto"/>
        <w:right w:val="none" w:sz="0" w:space="0" w:color="auto"/>
      </w:divBdr>
      <w:divsChild>
        <w:div w:id="1461997756">
          <w:marLeft w:val="0"/>
          <w:marRight w:val="0"/>
          <w:marTop w:val="0"/>
          <w:marBottom w:val="0"/>
          <w:divBdr>
            <w:top w:val="none" w:sz="0" w:space="0" w:color="auto"/>
            <w:left w:val="none" w:sz="0" w:space="0" w:color="auto"/>
            <w:bottom w:val="none" w:sz="0" w:space="0" w:color="auto"/>
            <w:right w:val="none" w:sz="0" w:space="0" w:color="auto"/>
          </w:divBdr>
        </w:div>
      </w:divsChild>
    </w:div>
    <w:div w:id="359167523">
      <w:bodyDiv w:val="1"/>
      <w:marLeft w:val="0"/>
      <w:marRight w:val="0"/>
      <w:marTop w:val="0"/>
      <w:marBottom w:val="0"/>
      <w:divBdr>
        <w:top w:val="none" w:sz="0" w:space="0" w:color="auto"/>
        <w:left w:val="none" w:sz="0" w:space="0" w:color="auto"/>
        <w:bottom w:val="none" w:sz="0" w:space="0" w:color="auto"/>
        <w:right w:val="none" w:sz="0" w:space="0" w:color="auto"/>
      </w:divBdr>
      <w:divsChild>
        <w:div w:id="1835871483">
          <w:marLeft w:val="0"/>
          <w:marRight w:val="0"/>
          <w:marTop w:val="0"/>
          <w:marBottom w:val="0"/>
          <w:divBdr>
            <w:top w:val="none" w:sz="0" w:space="0" w:color="auto"/>
            <w:left w:val="none" w:sz="0" w:space="0" w:color="auto"/>
            <w:bottom w:val="none" w:sz="0" w:space="0" w:color="auto"/>
            <w:right w:val="none" w:sz="0" w:space="0" w:color="auto"/>
          </w:divBdr>
        </w:div>
      </w:divsChild>
    </w:div>
    <w:div w:id="473450201">
      <w:bodyDiv w:val="1"/>
      <w:marLeft w:val="0"/>
      <w:marRight w:val="0"/>
      <w:marTop w:val="0"/>
      <w:marBottom w:val="0"/>
      <w:divBdr>
        <w:top w:val="none" w:sz="0" w:space="0" w:color="auto"/>
        <w:left w:val="none" w:sz="0" w:space="0" w:color="auto"/>
        <w:bottom w:val="none" w:sz="0" w:space="0" w:color="auto"/>
        <w:right w:val="none" w:sz="0" w:space="0" w:color="auto"/>
      </w:divBdr>
      <w:divsChild>
        <w:div w:id="304818428">
          <w:marLeft w:val="0"/>
          <w:marRight w:val="0"/>
          <w:marTop w:val="0"/>
          <w:marBottom w:val="0"/>
          <w:divBdr>
            <w:top w:val="none" w:sz="0" w:space="0" w:color="auto"/>
            <w:left w:val="none" w:sz="0" w:space="0" w:color="auto"/>
            <w:bottom w:val="none" w:sz="0" w:space="0" w:color="auto"/>
            <w:right w:val="none" w:sz="0" w:space="0" w:color="auto"/>
          </w:divBdr>
          <w:divsChild>
            <w:div w:id="768082334">
              <w:marLeft w:val="0"/>
              <w:marRight w:val="0"/>
              <w:marTop w:val="0"/>
              <w:marBottom w:val="0"/>
              <w:divBdr>
                <w:top w:val="none" w:sz="0" w:space="0" w:color="auto"/>
                <w:left w:val="none" w:sz="0" w:space="0" w:color="auto"/>
                <w:bottom w:val="none" w:sz="0" w:space="0" w:color="auto"/>
                <w:right w:val="none" w:sz="0" w:space="0" w:color="auto"/>
              </w:divBdr>
              <w:divsChild>
                <w:div w:id="1489176494">
                  <w:marLeft w:val="0"/>
                  <w:marRight w:val="0"/>
                  <w:marTop w:val="0"/>
                  <w:marBottom w:val="0"/>
                  <w:divBdr>
                    <w:top w:val="none" w:sz="0" w:space="0" w:color="auto"/>
                    <w:left w:val="none" w:sz="0" w:space="0" w:color="auto"/>
                    <w:bottom w:val="none" w:sz="0" w:space="0" w:color="auto"/>
                    <w:right w:val="none" w:sz="0" w:space="0" w:color="auto"/>
                  </w:divBdr>
                  <w:divsChild>
                    <w:div w:id="743258558">
                      <w:marLeft w:val="0"/>
                      <w:marRight w:val="0"/>
                      <w:marTop w:val="0"/>
                      <w:marBottom w:val="0"/>
                      <w:divBdr>
                        <w:top w:val="none" w:sz="0" w:space="0" w:color="auto"/>
                        <w:left w:val="none" w:sz="0" w:space="0" w:color="auto"/>
                        <w:bottom w:val="none" w:sz="0" w:space="0" w:color="auto"/>
                        <w:right w:val="none" w:sz="0" w:space="0" w:color="auto"/>
                      </w:divBdr>
                      <w:divsChild>
                        <w:div w:id="1120303577">
                          <w:marLeft w:val="0"/>
                          <w:marRight w:val="0"/>
                          <w:marTop w:val="0"/>
                          <w:marBottom w:val="0"/>
                          <w:divBdr>
                            <w:top w:val="none" w:sz="0" w:space="0" w:color="auto"/>
                            <w:left w:val="none" w:sz="0" w:space="0" w:color="auto"/>
                            <w:bottom w:val="none" w:sz="0" w:space="0" w:color="auto"/>
                            <w:right w:val="none" w:sz="0" w:space="0" w:color="auto"/>
                          </w:divBdr>
                          <w:divsChild>
                            <w:div w:id="1861314155">
                              <w:marLeft w:val="0"/>
                              <w:marRight w:val="0"/>
                              <w:marTop w:val="0"/>
                              <w:marBottom w:val="0"/>
                              <w:divBdr>
                                <w:top w:val="none" w:sz="0" w:space="0" w:color="auto"/>
                                <w:left w:val="none" w:sz="0" w:space="0" w:color="auto"/>
                                <w:bottom w:val="none" w:sz="0" w:space="0" w:color="auto"/>
                                <w:right w:val="none" w:sz="0" w:space="0" w:color="auto"/>
                              </w:divBdr>
                              <w:divsChild>
                                <w:div w:id="1145395179">
                                  <w:marLeft w:val="0"/>
                                  <w:marRight w:val="0"/>
                                  <w:marTop w:val="0"/>
                                  <w:marBottom w:val="0"/>
                                  <w:divBdr>
                                    <w:top w:val="none" w:sz="0" w:space="0" w:color="auto"/>
                                    <w:left w:val="none" w:sz="0" w:space="0" w:color="auto"/>
                                    <w:bottom w:val="none" w:sz="0" w:space="0" w:color="auto"/>
                                    <w:right w:val="none" w:sz="0" w:space="0" w:color="auto"/>
                                  </w:divBdr>
                                  <w:divsChild>
                                    <w:div w:id="7891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998441">
      <w:bodyDiv w:val="1"/>
      <w:marLeft w:val="0"/>
      <w:marRight w:val="0"/>
      <w:marTop w:val="0"/>
      <w:marBottom w:val="0"/>
      <w:divBdr>
        <w:top w:val="none" w:sz="0" w:space="0" w:color="auto"/>
        <w:left w:val="none" w:sz="0" w:space="0" w:color="auto"/>
        <w:bottom w:val="none" w:sz="0" w:space="0" w:color="auto"/>
        <w:right w:val="none" w:sz="0" w:space="0" w:color="auto"/>
      </w:divBdr>
      <w:divsChild>
        <w:div w:id="1090003250">
          <w:marLeft w:val="0"/>
          <w:marRight w:val="0"/>
          <w:marTop w:val="0"/>
          <w:marBottom w:val="0"/>
          <w:divBdr>
            <w:top w:val="none" w:sz="0" w:space="0" w:color="auto"/>
            <w:left w:val="none" w:sz="0" w:space="0" w:color="auto"/>
            <w:bottom w:val="none" w:sz="0" w:space="0" w:color="auto"/>
            <w:right w:val="none" w:sz="0" w:space="0" w:color="auto"/>
          </w:divBdr>
          <w:divsChild>
            <w:div w:id="1699700597">
              <w:marLeft w:val="0"/>
              <w:marRight w:val="0"/>
              <w:marTop w:val="0"/>
              <w:marBottom w:val="0"/>
              <w:divBdr>
                <w:top w:val="none" w:sz="0" w:space="0" w:color="auto"/>
                <w:left w:val="none" w:sz="0" w:space="0" w:color="auto"/>
                <w:bottom w:val="none" w:sz="0" w:space="0" w:color="auto"/>
                <w:right w:val="none" w:sz="0" w:space="0" w:color="auto"/>
              </w:divBdr>
              <w:divsChild>
                <w:div w:id="1915584220">
                  <w:marLeft w:val="0"/>
                  <w:marRight w:val="0"/>
                  <w:marTop w:val="0"/>
                  <w:marBottom w:val="0"/>
                  <w:divBdr>
                    <w:top w:val="none" w:sz="0" w:space="0" w:color="auto"/>
                    <w:left w:val="none" w:sz="0" w:space="0" w:color="auto"/>
                    <w:bottom w:val="none" w:sz="0" w:space="0" w:color="auto"/>
                    <w:right w:val="none" w:sz="0" w:space="0" w:color="auto"/>
                  </w:divBdr>
                  <w:divsChild>
                    <w:div w:id="1388528564">
                      <w:marLeft w:val="0"/>
                      <w:marRight w:val="0"/>
                      <w:marTop w:val="0"/>
                      <w:marBottom w:val="0"/>
                      <w:divBdr>
                        <w:top w:val="none" w:sz="0" w:space="0" w:color="auto"/>
                        <w:left w:val="none" w:sz="0" w:space="0" w:color="auto"/>
                        <w:bottom w:val="none" w:sz="0" w:space="0" w:color="auto"/>
                        <w:right w:val="none" w:sz="0" w:space="0" w:color="auto"/>
                      </w:divBdr>
                      <w:divsChild>
                        <w:div w:id="1582981142">
                          <w:marLeft w:val="0"/>
                          <w:marRight w:val="0"/>
                          <w:marTop w:val="0"/>
                          <w:marBottom w:val="0"/>
                          <w:divBdr>
                            <w:top w:val="none" w:sz="0" w:space="0" w:color="auto"/>
                            <w:left w:val="none" w:sz="0" w:space="0" w:color="auto"/>
                            <w:bottom w:val="none" w:sz="0" w:space="0" w:color="auto"/>
                            <w:right w:val="none" w:sz="0" w:space="0" w:color="auto"/>
                          </w:divBdr>
                          <w:divsChild>
                            <w:div w:id="567882514">
                              <w:marLeft w:val="0"/>
                              <w:marRight w:val="0"/>
                              <w:marTop w:val="0"/>
                              <w:marBottom w:val="0"/>
                              <w:divBdr>
                                <w:top w:val="none" w:sz="0" w:space="0" w:color="auto"/>
                                <w:left w:val="none" w:sz="0" w:space="0" w:color="auto"/>
                                <w:bottom w:val="none" w:sz="0" w:space="0" w:color="auto"/>
                                <w:right w:val="none" w:sz="0" w:space="0" w:color="auto"/>
                              </w:divBdr>
                              <w:divsChild>
                                <w:div w:id="1950426152">
                                  <w:marLeft w:val="0"/>
                                  <w:marRight w:val="0"/>
                                  <w:marTop w:val="0"/>
                                  <w:marBottom w:val="0"/>
                                  <w:divBdr>
                                    <w:top w:val="none" w:sz="0" w:space="0" w:color="auto"/>
                                    <w:left w:val="none" w:sz="0" w:space="0" w:color="auto"/>
                                    <w:bottom w:val="none" w:sz="0" w:space="0" w:color="auto"/>
                                    <w:right w:val="none" w:sz="0" w:space="0" w:color="auto"/>
                                  </w:divBdr>
                                  <w:divsChild>
                                    <w:div w:id="940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6547">
      <w:bodyDiv w:val="1"/>
      <w:marLeft w:val="0"/>
      <w:marRight w:val="0"/>
      <w:marTop w:val="0"/>
      <w:marBottom w:val="0"/>
      <w:divBdr>
        <w:top w:val="none" w:sz="0" w:space="0" w:color="auto"/>
        <w:left w:val="none" w:sz="0" w:space="0" w:color="auto"/>
        <w:bottom w:val="none" w:sz="0" w:space="0" w:color="auto"/>
        <w:right w:val="none" w:sz="0" w:space="0" w:color="auto"/>
      </w:divBdr>
      <w:divsChild>
        <w:div w:id="1045829563">
          <w:marLeft w:val="0"/>
          <w:marRight w:val="0"/>
          <w:marTop w:val="0"/>
          <w:marBottom w:val="0"/>
          <w:divBdr>
            <w:top w:val="none" w:sz="0" w:space="0" w:color="auto"/>
            <w:left w:val="none" w:sz="0" w:space="0" w:color="auto"/>
            <w:bottom w:val="none" w:sz="0" w:space="0" w:color="auto"/>
            <w:right w:val="none" w:sz="0" w:space="0" w:color="auto"/>
          </w:divBdr>
        </w:div>
      </w:divsChild>
    </w:div>
    <w:div w:id="595987446">
      <w:bodyDiv w:val="1"/>
      <w:marLeft w:val="0"/>
      <w:marRight w:val="0"/>
      <w:marTop w:val="0"/>
      <w:marBottom w:val="0"/>
      <w:divBdr>
        <w:top w:val="none" w:sz="0" w:space="0" w:color="auto"/>
        <w:left w:val="none" w:sz="0" w:space="0" w:color="auto"/>
        <w:bottom w:val="none" w:sz="0" w:space="0" w:color="auto"/>
        <w:right w:val="none" w:sz="0" w:space="0" w:color="auto"/>
      </w:divBdr>
      <w:divsChild>
        <w:div w:id="1902404139">
          <w:marLeft w:val="0"/>
          <w:marRight w:val="0"/>
          <w:marTop w:val="0"/>
          <w:marBottom w:val="0"/>
          <w:divBdr>
            <w:top w:val="none" w:sz="0" w:space="0" w:color="auto"/>
            <w:left w:val="none" w:sz="0" w:space="0" w:color="auto"/>
            <w:bottom w:val="none" w:sz="0" w:space="0" w:color="auto"/>
            <w:right w:val="none" w:sz="0" w:space="0" w:color="auto"/>
          </w:divBdr>
        </w:div>
      </w:divsChild>
    </w:div>
    <w:div w:id="651374241">
      <w:bodyDiv w:val="1"/>
      <w:marLeft w:val="0"/>
      <w:marRight w:val="0"/>
      <w:marTop w:val="0"/>
      <w:marBottom w:val="0"/>
      <w:divBdr>
        <w:top w:val="none" w:sz="0" w:space="0" w:color="auto"/>
        <w:left w:val="none" w:sz="0" w:space="0" w:color="auto"/>
        <w:bottom w:val="none" w:sz="0" w:space="0" w:color="auto"/>
        <w:right w:val="none" w:sz="0" w:space="0" w:color="auto"/>
      </w:divBdr>
    </w:div>
    <w:div w:id="733698224">
      <w:bodyDiv w:val="1"/>
      <w:marLeft w:val="0"/>
      <w:marRight w:val="0"/>
      <w:marTop w:val="0"/>
      <w:marBottom w:val="0"/>
      <w:divBdr>
        <w:top w:val="none" w:sz="0" w:space="0" w:color="auto"/>
        <w:left w:val="none" w:sz="0" w:space="0" w:color="auto"/>
        <w:bottom w:val="none" w:sz="0" w:space="0" w:color="auto"/>
        <w:right w:val="none" w:sz="0" w:space="0" w:color="auto"/>
      </w:divBdr>
    </w:div>
    <w:div w:id="1041591490">
      <w:bodyDiv w:val="1"/>
      <w:marLeft w:val="0"/>
      <w:marRight w:val="0"/>
      <w:marTop w:val="0"/>
      <w:marBottom w:val="0"/>
      <w:divBdr>
        <w:top w:val="none" w:sz="0" w:space="0" w:color="auto"/>
        <w:left w:val="none" w:sz="0" w:space="0" w:color="auto"/>
        <w:bottom w:val="none" w:sz="0" w:space="0" w:color="auto"/>
        <w:right w:val="none" w:sz="0" w:space="0" w:color="auto"/>
      </w:divBdr>
      <w:divsChild>
        <w:div w:id="431587085">
          <w:marLeft w:val="0"/>
          <w:marRight w:val="0"/>
          <w:marTop w:val="0"/>
          <w:marBottom w:val="0"/>
          <w:divBdr>
            <w:top w:val="none" w:sz="0" w:space="0" w:color="auto"/>
            <w:left w:val="none" w:sz="0" w:space="0" w:color="auto"/>
            <w:bottom w:val="none" w:sz="0" w:space="0" w:color="auto"/>
            <w:right w:val="none" w:sz="0" w:space="0" w:color="auto"/>
          </w:divBdr>
        </w:div>
      </w:divsChild>
    </w:div>
    <w:div w:id="1052269106">
      <w:bodyDiv w:val="1"/>
      <w:marLeft w:val="0"/>
      <w:marRight w:val="0"/>
      <w:marTop w:val="0"/>
      <w:marBottom w:val="0"/>
      <w:divBdr>
        <w:top w:val="none" w:sz="0" w:space="0" w:color="auto"/>
        <w:left w:val="none" w:sz="0" w:space="0" w:color="auto"/>
        <w:bottom w:val="none" w:sz="0" w:space="0" w:color="auto"/>
        <w:right w:val="none" w:sz="0" w:space="0" w:color="auto"/>
      </w:divBdr>
      <w:divsChild>
        <w:div w:id="1682200349">
          <w:marLeft w:val="0"/>
          <w:marRight w:val="0"/>
          <w:marTop w:val="0"/>
          <w:marBottom w:val="0"/>
          <w:divBdr>
            <w:top w:val="none" w:sz="0" w:space="0" w:color="auto"/>
            <w:left w:val="none" w:sz="0" w:space="0" w:color="auto"/>
            <w:bottom w:val="none" w:sz="0" w:space="0" w:color="auto"/>
            <w:right w:val="none" w:sz="0" w:space="0" w:color="auto"/>
          </w:divBdr>
        </w:div>
      </w:divsChild>
    </w:div>
    <w:div w:id="1056004608">
      <w:bodyDiv w:val="1"/>
      <w:marLeft w:val="0"/>
      <w:marRight w:val="0"/>
      <w:marTop w:val="0"/>
      <w:marBottom w:val="0"/>
      <w:divBdr>
        <w:top w:val="none" w:sz="0" w:space="0" w:color="auto"/>
        <w:left w:val="none" w:sz="0" w:space="0" w:color="auto"/>
        <w:bottom w:val="none" w:sz="0" w:space="0" w:color="auto"/>
        <w:right w:val="none" w:sz="0" w:space="0" w:color="auto"/>
      </w:divBdr>
      <w:divsChild>
        <w:div w:id="1680349820">
          <w:marLeft w:val="0"/>
          <w:marRight w:val="0"/>
          <w:marTop w:val="0"/>
          <w:marBottom w:val="0"/>
          <w:divBdr>
            <w:top w:val="none" w:sz="0" w:space="0" w:color="auto"/>
            <w:left w:val="none" w:sz="0" w:space="0" w:color="auto"/>
            <w:bottom w:val="none" w:sz="0" w:space="0" w:color="auto"/>
            <w:right w:val="none" w:sz="0" w:space="0" w:color="auto"/>
          </w:divBdr>
        </w:div>
      </w:divsChild>
    </w:div>
    <w:div w:id="1059550546">
      <w:bodyDiv w:val="1"/>
      <w:marLeft w:val="0"/>
      <w:marRight w:val="0"/>
      <w:marTop w:val="0"/>
      <w:marBottom w:val="0"/>
      <w:divBdr>
        <w:top w:val="none" w:sz="0" w:space="0" w:color="auto"/>
        <w:left w:val="none" w:sz="0" w:space="0" w:color="auto"/>
        <w:bottom w:val="none" w:sz="0" w:space="0" w:color="auto"/>
        <w:right w:val="none" w:sz="0" w:space="0" w:color="auto"/>
      </w:divBdr>
      <w:divsChild>
        <w:div w:id="237788867">
          <w:marLeft w:val="0"/>
          <w:marRight w:val="0"/>
          <w:marTop w:val="0"/>
          <w:marBottom w:val="0"/>
          <w:divBdr>
            <w:top w:val="none" w:sz="0" w:space="0" w:color="auto"/>
            <w:left w:val="none" w:sz="0" w:space="0" w:color="auto"/>
            <w:bottom w:val="none" w:sz="0" w:space="0" w:color="auto"/>
            <w:right w:val="none" w:sz="0" w:space="0" w:color="auto"/>
          </w:divBdr>
          <w:divsChild>
            <w:div w:id="1504514189">
              <w:marLeft w:val="0"/>
              <w:marRight w:val="0"/>
              <w:marTop w:val="0"/>
              <w:marBottom w:val="0"/>
              <w:divBdr>
                <w:top w:val="none" w:sz="0" w:space="0" w:color="auto"/>
                <w:left w:val="none" w:sz="0" w:space="0" w:color="auto"/>
                <w:bottom w:val="none" w:sz="0" w:space="0" w:color="auto"/>
                <w:right w:val="none" w:sz="0" w:space="0" w:color="auto"/>
              </w:divBdr>
              <w:divsChild>
                <w:div w:id="1972514188">
                  <w:marLeft w:val="0"/>
                  <w:marRight w:val="0"/>
                  <w:marTop w:val="0"/>
                  <w:marBottom w:val="0"/>
                  <w:divBdr>
                    <w:top w:val="none" w:sz="0" w:space="0" w:color="auto"/>
                    <w:left w:val="none" w:sz="0" w:space="0" w:color="auto"/>
                    <w:bottom w:val="none" w:sz="0" w:space="0" w:color="auto"/>
                    <w:right w:val="none" w:sz="0" w:space="0" w:color="auto"/>
                  </w:divBdr>
                  <w:divsChild>
                    <w:div w:id="818959946">
                      <w:marLeft w:val="0"/>
                      <w:marRight w:val="0"/>
                      <w:marTop w:val="0"/>
                      <w:marBottom w:val="0"/>
                      <w:divBdr>
                        <w:top w:val="none" w:sz="0" w:space="0" w:color="auto"/>
                        <w:left w:val="none" w:sz="0" w:space="0" w:color="auto"/>
                        <w:bottom w:val="none" w:sz="0" w:space="0" w:color="auto"/>
                        <w:right w:val="none" w:sz="0" w:space="0" w:color="auto"/>
                      </w:divBdr>
                      <w:divsChild>
                        <w:div w:id="1996453184">
                          <w:marLeft w:val="0"/>
                          <w:marRight w:val="0"/>
                          <w:marTop w:val="0"/>
                          <w:marBottom w:val="0"/>
                          <w:divBdr>
                            <w:top w:val="none" w:sz="0" w:space="0" w:color="auto"/>
                            <w:left w:val="none" w:sz="0" w:space="0" w:color="auto"/>
                            <w:bottom w:val="none" w:sz="0" w:space="0" w:color="auto"/>
                            <w:right w:val="none" w:sz="0" w:space="0" w:color="auto"/>
                          </w:divBdr>
                          <w:divsChild>
                            <w:div w:id="2092971318">
                              <w:marLeft w:val="0"/>
                              <w:marRight w:val="0"/>
                              <w:marTop w:val="0"/>
                              <w:marBottom w:val="0"/>
                              <w:divBdr>
                                <w:top w:val="none" w:sz="0" w:space="0" w:color="auto"/>
                                <w:left w:val="none" w:sz="0" w:space="0" w:color="auto"/>
                                <w:bottom w:val="none" w:sz="0" w:space="0" w:color="auto"/>
                                <w:right w:val="none" w:sz="0" w:space="0" w:color="auto"/>
                              </w:divBdr>
                              <w:divsChild>
                                <w:div w:id="1794252538">
                                  <w:marLeft w:val="0"/>
                                  <w:marRight w:val="0"/>
                                  <w:marTop w:val="0"/>
                                  <w:marBottom w:val="0"/>
                                  <w:divBdr>
                                    <w:top w:val="none" w:sz="0" w:space="0" w:color="auto"/>
                                    <w:left w:val="none" w:sz="0" w:space="0" w:color="auto"/>
                                    <w:bottom w:val="none" w:sz="0" w:space="0" w:color="auto"/>
                                    <w:right w:val="none" w:sz="0" w:space="0" w:color="auto"/>
                                  </w:divBdr>
                                  <w:divsChild>
                                    <w:div w:id="13831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416697">
      <w:bodyDiv w:val="1"/>
      <w:marLeft w:val="0"/>
      <w:marRight w:val="0"/>
      <w:marTop w:val="0"/>
      <w:marBottom w:val="0"/>
      <w:divBdr>
        <w:top w:val="none" w:sz="0" w:space="0" w:color="auto"/>
        <w:left w:val="none" w:sz="0" w:space="0" w:color="auto"/>
        <w:bottom w:val="none" w:sz="0" w:space="0" w:color="auto"/>
        <w:right w:val="none" w:sz="0" w:space="0" w:color="auto"/>
      </w:divBdr>
      <w:divsChild>
        <w:div w:id="1518735745">
          <w:marLeft w:val="0"/>
          <w:marRight w:val="0"/>
          <w:marTop w:val="0"/>
          <w:marBottom w:val="0"/>
          <w:divBdr>
            <w:top w:val="none" w:sz="0" w:space="0" w:color="auto"/>
            <w:left w:val="none" w:sz="0" w:space="0" w:color="auto"/>
            <w:bottom w:val="none" w:sz="0" w:space="0" w:color="auto"/>
            <w:right w:val="none" w:sz="0" w:space="0" w:color="auto"/>
          </w:divBdr>
        </w:div>
      </w:divsChild>
    </w:div>
    <w:div w:id="1113399329">
      <w:bodyDiv w:val="1"/>
      <w:marLeft w:val="0"/>
      <w:marRight w:val="0"/>
      <w:marTop w:val="0"/>
      <w:marBottom w:val="0"/>
      <w:divBdr>
        <w:top w:val="none" w:sz="0" w:space="0" w:color="auto"/>
        <w:left w:val="none" w:sz="0" w:space="0" w:color="auto"/>
        <w:bottom w:val="none" w:sz="0" w:space="0" w:color="auto"/>
        <w:right w:val="none" w:sz="0" w:space="0" w:color="auto"/>
      </w:divBdr>
      <w:divsChild>
        <w:div w:id="1443644281">
          <w:marLeft w:val="0"/>
          <w:marRight w:val="0"/>
          <w:marTop w:val="0"/>
          <w:marBottom w:val="0"/>
          <w:divBdr>
            <w:top w:val="none" w:sz="0" w:space="0" w:color="auto"/>
            <w:left w:val="none" w:sz="0" w:space="0" w:color="auto"/>
            <w:bottom w:val="none" w:sz="0" w:space="0" w:color="auto"/>
            <w:right w:val="none" w:sz="0" w:space="0" w:color="auto"/>
          </w:divBdr>
        </w:div>
      </w:divsChild>
    </w:div>
    <w:div w:id="1244295043">
      <w:bodyDiv w:val="1"/>
      <w:marLeft w:val="0"/>
      <w:marRight w:val="0"/>
      <w:marTop w:val="0"/>
      <w:marBottom w:val="0"/>
      <w:divBdr>
        <w:top w:val="none" w:sz="0" w:space="0" w:color="auto"/>
        <w:left w:val="none" w:sz="0" w:space="0" w:color="auto"/>
        <w:bottom w:val="none" w:sz="0" w:space="0" w:color="auto"/>
        <w:right w:val="none" w:sz="0" w:space="0" w:color="auto"/>
      </w:divBdr>
      <w:divsChild>
        <w:div w:id="582031956">
          <w:marLeft w:val="0"/>
          <w:marRight w:val="0"/>
          <w:marTop w:val="0"/>
          <w:marBottom w:val="0"/>
          <w:divBdr>
            <w:top w:val="none" w:sz="0" w:space="0" w:color="auto"/>
            <w:left w:val="none" w:sz="0" w:space="0" w:color="auto"/>
            <w:bottom w:val="none" w:sz="0" w:space="0" w:color="auto"/>
            <w:right w:val="none" w:sz="0" w:space="0" w:color="auto"/>
          </w:divBdr>
        </w:div>
      </w:divsChild>
    </w:div>
    <w:div w:id="1281913484">
      <w:bodyDiv w:val="1"/>
      <w:marLeft w:val="0"/>
      <w:marRight w:val="0"/>
      <w:marTop w:val="0"/>
      <w:marBottom w:val="0"/>
      <w:divBdr>
        <w:top w:val="none" w:sz="0" w:space="0" w:color="auto"/>
        <w:left w:val="none" w:sz="0" w:space="0" w:color="auto"/>
        <w:bottom w:val="none" w:sz="0" w:space="0" w:color="auto"/>
        <w:right w:val="none" w:sz="0" w:space="0" w:color="auto"/>
      </w:divBdr>
      <w:divsChild>
        <w:div w:id="569073686">
          <w:marLeft w:val="0"/>
          <w:marRight w:val="0"/>
          <w:marTop w:val="0"/>
          <w:marBottom w:val="0"/>
          <w:divBdr>
            <w:top w:val="none" w:sz="0" w:space="0" w:color="auto"/>
            <w:left w:val="none" w:sz="0" w:space="0" w:color="auto"/>
            <w:bottom w:val="none" w:sz="0" w:space="0" w:color="auto"/>
            <w:right w:val="none" w:sz="0" w:space="0" w:color="auto"/>
          </w:divBdr>
          <w:divsChild>
            <w:div w:id="818767119">
              <w:marLeft w:val="0"/>
              <w:marRight w:val="0"/>
              <w:marTop w:val="0"/>
              <w:marBottom w:val="0"/>
              <w:divBdr>
                <w:top w:val="none" w:sz="0" w:space="0" w:color="auto"/>
                <w:left w:val="none" w:sz="0" w:space="0" w:color="auto"/>
                <w:bottom w:val="none" w:sz="0" w:space="0" w:color="auto"/>
                <w:right w:val="none" w:sz="0" w:space="0" w:color="auto"/>
              </w:divBdr>
              <w:divsChild>
                <w:div w:id="623999129">
                  <w:marLeft w:val="0"/>
                  <w:marRight w:val="0"/>
                  <w:marTop w:val="0"/>
                  <w:marBottom w:val="0"/>
                  <w:divBdr>
                    <w:top w:val="none" w:sz="0" w:space="0" w:color="auto"/>
                    <w:left w:val="none" w:sz="0" w:space="0" w:color="auto"/>
                    <w:bottom w:val="none" w:sz="0" w:space="0" w:color="auto"/>
                    <w:right w:val="none" w:sz="0" w:space="0" w:color="auto"/>
                  </w:divBdr>
                  <w:divsChild>
                    <w:div w:id="106629095">
                      <w:marLeft w:val="0"/>
                      <w:marRight w:val="0"/>
                      <w:marTop w:val="0"/>
                      <w:marBottom w:val="0"/>
                      <w:divBdr>
                        <w:top w:val="none" w:sz="0" w:space="0" w:color="auto"/>
                        <w:left w:val="none" w:sz="0" w:space="0" w:color="auto"/>
                        <w:bottom w:val="none" w:sz="0" w:space="0" w:color="auto"/>
                        <w:right w:val="none" w:sz="0" w:space="0" w:color="auto"/>
                      </w:divBdr>
                      <w:divsChild>
                        <w:div w:id="549415440">
                          <w:marLeft w:val="0"/>
                          <w:marRight w:val="0"/>
                          <w:marTop w:val="0"/>
                          <w:marBottom w:val="0"/>
                          <w:divBdr>
                            <w:top w:val="none" w:sz="0" w:space="0" w:color="auto"/>
                            <w:left w:val="none" w:sz="0" w:space="0" w:color="auto"/>
                            <w:bottom w:val="none" w:sz="0" w:space="0" w:color="auto"/>
                            <w:right w:val="none" w:sz="0" w:space="0" w:color="auto"/>
                          </w:divBdr>
                          <w:divsChild>
                            <w:div w:id="682438373">
                              <w:marLeft w:val="0"/>
                              <w:marRight w:val="0"/>
                              <w:marTop w:val="0"/>
                              <w:marBottom w:val="0"/>
                              <w:divBdr>
                                <w:top w:val="none" w:sz="0" w:space="0" w:color="auto"/>
                                <w:left w:val="none" w:sz="0" w:space="0" w:color="auto"/>
                                <w:bottom w:val="none" w:sz="0" w:space="0" w:color="auto"/>
                                <w:right w:val="none" w:sz="0" w:space="0" w:color="auto"/>
                              </w:divBdr>
                              <w:divsChild>
                                <w:div w:id="1950383114">
                                  <w:marLeft w:val="0"/>
                                  <w:marRight w:val="0"/>
                                  <w:marTop w:val="0"/>
                                  <w:marBottom w:val="0"/>
                                  <w:divBdr>
                                    <w:top w:val="none" w:sz="0" w:space="0" w:color="auto"/>
                                    <w:left w:val="none" w:sz="0" w:space="0" w:color="auto"/>
                                    <w:bottom w:val="none" w:sz="0" w:space="0" w:color="auto"/>
                                    <w:right w:val="none" w:sz="0" w:space="0" w:color="auto"/>
                                  </w:divBdr>
                                  <w:divsChild>
                                    <w:div w:id="200724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387066">
      <w:bodyDiv w:val="1"/>
      <w:marLeft w:val="0"/>
      <w:marRight w:val="0"/>
      <w:marTop w:val="0"/>
      <w:marBottom w:val="0"/>
      <w:divBdr>
        <w:top w:val="none" w:sz="0" w:space="0" w:color="auto"/>
        <w:left w:val="none" w:sz="0" w:space="0" w:color="auto"/>
        <w:bottom w:val="none" w:sz="0" w:space="0" w:color="auto"/>
        <w:right w:val="none" w:sz="0" w:space="0" w:color="auto"/>
      </w:divBdr>
      <w:divsChild>
        <w:div w:id="892884276">
          <w:marLeft w:val="0"/>
          <w:marRight w:val="0"/>
          <w:marTop w:val="0"/>
          <w:marBottom w:val="0"/>
          <w:divBdr>
            <w:top w:val="none" w:sz="0" w:space="0" w:color="auto"/>
            <w:left w:val="none" w:sz="0" w:space="0" w:color="auto"/>
            <w:bottom w:val="none" w:sz="0" w:space="0" w:color="auto"/>
            <w:right w:val="none" w:sz="0" w:space="0" w:color="auto"/>
          </w:divBdr>
        </w:div>
      </w:divsChild>
    </w:div>
    <w:div w:id="1431850846">
      <w:bodyDiv w:val="1"/>
      <w:marLeft w:val="0"/>
      <w:marRight w:val="0"/>
      <w:marTop w:val="0"/>
      <w:marBottom w:val="0"/>
      <w:divBdr>
        <w:top w:val="none" w:sz="0" w:space="0" w:color="auto"/>
        <w:left w:val="none" w:sz="0" w:space="0" w:color="auto"/>
        <w:bottom w:val="none" w:sz="0" w:space="0" w:color="auto"/>
        <w:right w:val="none" w:sz="0" w:space="0" w:color="auto"/>
      </w:divBdr>
      <w:divsChild>
        <w:div w:id="991830620">
          <w:marLeft w:val="0"/>
          <w:marRight w:val="0"/>
          <w:marTop w:val="0"/>
          <w:marBottom w:val="0"/>
          <w:divBdr>
            <w:top w:val="none" w:sz="0" w:space="0" w:color="auto"/>
            <w:left w:val="none" w:sz="0" w:space="0" w:color="auto"/>
            <w:bottom w:val="none" w:sz="0" w:space="0" w:color="auto"/>
            <w:right w:val="none" w:sz="0" w:space="0" w:color="auto"/>
          </w:divBdr>
          <w:divsChild>
            <w:div w:id="1243443903">
              <w:marLeft w:val="0"/>
              <w:marRight w:val="0"/>
              <w:marTop w:val="0"/>
              <w:marBottom w:val="0"/>
              <w:divBdr>
                <w:top w:val="none" w:sz="0" w:space="0" w:color="auto"/>
                <w:left w:val="none" w:sz="0" w:space="0" w:color="auto"/>
                <w:bottom w:val="none" w:sz="0" w:space="0" w:color="auto"/>
                <w:right w:val="none" w:sz="0" w:space="0" w:color="auto"/>
              </w:divBdr>
              <w:divsChild>
                <w:div w:id="1111171687">
                  <w:marLeft w:val="0"/>
                  <w:marRight w:val="0"/>
                  <w:marTop w:val="0"/>
                  <w:marBottom w:val="0"/>
                  <w:divBdr>
                    <w:top w:val="none" w:sz="0" w:space="0" w:color="auto"/>
                    <w:left w:val="none" w:sz="0" w:space="0" w:color="auto"/>
                    <w:bottom w:val="none" w:sz="0" w:space="0" w:color="auto"/>
                    <w:right w:val="none" w:sz="0" w:space="0" w:color="auto"/>
                  </w:divBdr>
                  <w:divsChild>
                    <w:div w:id="193928836">
                      <w:marLeft w:val="0"/>
                      <w:marRight w:val="0"/>
                      <w:marTop w:val="0"/>
                      <w:marBottom w:val="0"/>
                      <w:divBdr>
                        <w:top w:val="none" w:sz="0" w:space="0" w:color="auto"/>
                        <w:left w:val="none" w:sz="0" w:space="0" w:color="auto"/>
                        <w:bottom w:val="none" w:sz="0" w:space="0" w:color="auto"/>
                        <w:right w:val="none" w:sz="0" w:space="0" w:color="auto"/>
                      </w:divBdr>
                      <w:divsChild>
                        <w:div w:id="1064721702">
                          <w:marLeft w:val="0"/>
                          <w:marRight w:val="0"/>
                          <w:marTop w:val="0"/>
                          <w:marBottom w:val="0"/>
                          <w:divBdr>
                            <w:top w:val="none" w:sz="0" w:space="0" w:color="auto"/>
                            <w:left w:val="none" w:sz="0" w:space="0" w:color="auto"/>
                            <w:bottom w:val="none" w:sz="0" w:space="0" w:color="auto"/>
                            <w:right w:val="none" w:sz="0" w:space="0" w:color="auto"/>
                          </w:divBdr>
                          <w:divsChild>
                            <w:div w:id="1262567553">
                              <w:marLeft w:val="0"/>
                              <w:marRight w:val="0"/>
                              <w:marTop w:val="0"/>
                              <w:marBottom w:val="0"/>
                              <w:divBdr>
                                <w:top w:val="none" w:sz="0" w:space="0" w:color="auto"/>
                                <w:left w:val="none" w:sz="0" w:space="0" w:color="auto"/>
                                <w:bottom w:val="none" w:sz="0" w:space="0" w:color="auto"/>
                                <w:right w:val="none" w:sz="0" w:space="0" w:color="auto"/>
                              </w:divBdr>
                              <w:divsChild>
                                <w:div w:id="1505436646">
                                  <w:marLeft w:val="0"/>
                                  <w:marRight w:val="0"/>
                                  <w:marTop w:val="0"/>
                                  <w:marBottom w:val="0"/>
                                  <w:divBdr>
                                    <w:top w:val="none" w:sz="0" w:space="0" w:color="auto"/>
                                    <w:left w:val="none" w:sz="0" w:space="0" w:color="auto"/>
                                    <w:bottom w:val="none" w:sz="0" w:space="0" w:color="auto"/>
                                    <w:right w:val="none" w:sz="0" w:space="0" w:color="auto"/>
                                  </w:divBdr>
                                  <w:divsChild>
                                    <w:div w:id="16968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967152">
      <w:bodyDiv w:val="1"/>
      <w:marLeft w:val="0"/>
      <w:marRight w:val="0"/>
      <w:marTop w:val="0"/>
      <w:marBottom w:val="0"/>
      <w:divBdr>
        <w:top w:val="none" w:sz="0" w:space="0" w:color="auto"/>
        <w:left w:val="none" w:sz="0" w:space="0" w:color="auto"/>
        <w:bottom w:val="none" w:sz="0" w:space="0" w:color="auto"/>
        <w:right w:val="none" w:sz="0" w:space="0" w:color="auto"/>
      </w:divBdr>
      <w:divsChild>
        <w:div w:id="559677732">
          <w:marLeft w:val="0"/>
          <w:marRight w:val="0"/>
          <w:marTop w:val="0"/>
          <w:marBottom w:val="0"/>
          <w:divBdr>
            <w:top w:val="none" w:sz="0" w:space="0" w:color="auto"/>
            <w:left w:val="none" w:sz="0" w:space="0" w:color="auto"/>
            <w:bottom w:val="none" w:sz="0" w:space="0" w:color="auto"/>
            <w:right w:val="none" w:sz="0" w:space="0" w:color="auto"/>
          </w:divBdr>
        </w:div>
      </w:divsChild>
    </w:div>
    <w:div w:id="1529830644">
      <w:bodyDiv w:val="1"/>
      <w:marLeft w:val="0"/>
      <w:marRight w:val="0"/>
      <w:marTop w:val="0"/>
      <w:marBottom w:val="0"/>
      <w:divBdr>
        <w:top w:val="none" w:sz="0" w:space="0" w:color="auto"/>
        <w:left w:val="none" w:sz="0" w:space="0" w:color="auto"/>
        <w:bottom w:val="none" w:sz="0" w:space="0" w:color="auto"/>
        <w:right w:val="none" w:sz="0" w:space="0" w:color="auto"/>
      </w:divBdr>
      <w:divsChild>
        <w:div w:id="1213226443">
          <w:marLeft w:val="0"/>
          <w:marRight w:val="0"/>
          <w:marTop w:val="0"/>
          <w:marBottom w:val="0"/>
          <w:divBdr>
            <w:top w:val="none" w:sz="0" w:space="0" w:color="auto"/>
            <w:left w:val="none" w:sz="0" w:space="0" w:color="auto"/>
            <w:bottom w:val="none" w:sz="0" w:space="0" w:color="auto"/>
            <w:right w:val="none" w:sz="0" w:space="0" w:color="auto"/>
          </w:divBdr>
          <w:divsChild>
            <w:div w:id="1239749048">
              <w:marLeft w:val="0"/>
              <w:marRight w:val="0"/>
              <w:marTop w:val="0"/>
              <w:marBottom w:val="0"/>
              <w:divBdr>
                <w:top w:val="none" w:sz="0" w:space="0" w:color="auto"/>
                <w:left w:val="none" w:sz="0" w:space="0" w:color="auto"/>
                <w:bottom w:val="none" w:sz="0" w:space="0" w:color="auto"/>
                <w:right w:val="none" w:sz="0" w:space="0" w:color="auto"/>
              </w:divBdr>
              <w:divsChild>
                <w:div w:id="1218930680">
                  <w:marLeft w:val="0"/>
                  <w:marRight w:val="0"/>
                  <w:marTop w:val="0"/>
                  <w:marBottom w:val="0"/>
                  <w:divBdr>
                    <w:top w:val="none" w:sz="0" w:space="0" w:color="auto"/>
                    <w:left w:val="none" w:sz="0" w:space="0" w:color="auto"/>
                    <w:bottom w:val="none" w:sz="0" w:space="0" w:color="auto"/>
                    <w:right w:val="none" w:sz="0" w:space="0" w:color="auto"/>
                  </w:divBdr>
                  <w:divsChild>
                    <w:div w:id="1865315715">
                      <w:marLeft w:val="0"/>
                      <w:marRight w:val="0"/>
                      <w:marTop w:val="0"/>
                      <w:marBottom w:val="0"/>
                      <w:divBdr>
                        <w:top w:val="none" w:sz="0" w:space="0" w:color="auto"/>
                        <w:left w:val="none" w:sz="0" w:space="0" w:color="auto"/>
                        <w:bottom w:val="none" w:sz="0" w:space="0" w:color="auto"/>
                        <w:right w:val="none" w:sz="0" w:space="0" w:color="auto"/>
                      </w:divBdr>
                      <w:divsChild>
                        <w:div w:id="1808737649">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sChild>
                                <w:div w:id="1852834196">
                                  <w:marLeft w:val="0"/>
                                  <w:marRight w:val="0"/>
                                  <w:marTop w:val="0"/>
                                  <w:marBottom w:val="0"/>
                                  <w:divBdr>
                                    <w:top w:val="none" w:sz="0" w:space="0" w:color="auto"/>
                                    <w:left w:val="none" w:sz="0" w:space="0" w:color="auto"/>
                                    <w:bottom w:val="none" w:sz="0" w:space="0" w:color="auto"/>
                                    <w:right w:val="none" w:sz="0" w:space="0" w:color="auto"/>
                                  </w:divBdr>
                                  <w:divsChild>
                                    <w:div w:id="16214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148260">
      <w:bodyDiv w:val="1"/>
      <w:marLeft w:val="0"/>
      <w:marRight w:val="0"/>
      <w:marTop w:val="0"/>
      <w:marBottom w:val="0"/>
      <w:divBdr>
        <w:top w:val="none" w:sz="0" w:space="0" w:color="auto"/>
        <w:left w:val="none" w:sz="0" w:space="0" w:color="auto"/>
        <w:bottom w:val="none" w:sz="0" w:space="0" w:color="auto"/>
        <w:right w:val="none" w:sz="0" w:space="0" w:color="auto"/>
      </w:divBdr>
      <w:divsChild>
        <w:div w:id="981277359">
          <w:marLeft w:val="0"/>
          <w:marRight w:val="0"/>
          <w:marTop w:val="0"/>
          <w:marBottom w:val="0"/>
          <w:divBdr>
            <w:top w:val="none" w:sz="0" w:space="0" w:color="auto"/>
            <w:left w:val="none" w:sz="0" w:space="0" w:color="auto"/>
            <w:bottom w:val="none" w:sz="0" w:space="0" w:color="auto"/>
            <w:right w:val="none" w:sz="0" w:space="0" w:color="auto"/>
          </w:divBdr>
        </w:div>
      </w:divsChild>
    </w:div>
    <w:div w:id="1549489614">
      <w:bodyDiv w:val="1"/>
      <w:marLeft w:val="0"/>
      <w:marRight w:val="0"/>
      <w:marTop w:val="0"/>
      <w:marBottom w:val="0"/>
      <w:divBdr>
        <w:top w:val="none" w:sz="0" w:space="0" w:color="auto"/>
        <w:left w:val="none" w:sz="0" w:space="0" w:color="auto"/>
        <w:bottom w:val="none" w:sz="0" w:space="0" w:color="auto"/>
        <w:right w:val="none" w:sz="0" w:space="0" w:color="auto"/>
      </w:divBdr>
      <w:divsChild>
        <w:div w:id="11348713">
          <w:marLeft w:val="0"/>
          <w:marRight w:val="0"/>
          <w:marTop w:val="0"/>
          <w:marBottom w:val="0"/>
          <w:divBdr>
            <w:top w:val="none" w:sz="0" w:space="0" w:color="auto"/>
            <w:left w:val="none" w:sz="0" w:space="0" w:color="auto"/>
            <w:bottom w:val="none" w:sz="0" w:space="0" w:color="auto"/>
            <w:right w:val="none" w:sz="0" w:space="0" w:color="auto"/>
          </w:divBdr>
        </w:div>
      </w:divsChild>
    </w:div>
    <w:div w:id="1636526579">
      <w:bodyDiv w:val="1"/>
      <w:marLeft w:val="0"/>
      <w:marRight w:val="0"/>
      <w:marTop w:val="0"/>
      <w:marBottom w:val="0"/>
      <w:divBdr>
        <w:top w:val="none" w:sz="0" w:space="0" w:color="auto"/>
        <w:left w:val="none" w:sz="0" w:space="0" w:color="auto"/>
        <w:bottom w:val="none" w:sz="0" w:space="0" w:color="auto"/>
        <w:right w:val="none" w:sz="0" w:space="0" w:color="auto"/>
      </w:divBdr>
      <w:divsChild>
        <w:div w:id="1482889378">
          <w:marLeft w:val="0"/>
          <w:marRight w:val="0"/>
          <w:marTop w:val="0"/>
          <w:marBottom w:val="0"/>
          <w:divBdr>
            <w:top w:val="none" w:sz="0" w:space="0" w:color="auto"/>
            <w:left w:val="none" w:sz="0" w:space="0" w:color="auto"/>
            <w:bottom w:val="none" w:sz="0" w:space="0" w:color="auto"/>
            <w:right w:val="none" w:sz="0" w:space="0" w:color="auto"/>
          </w:divBdr>
          <w:divsChild>
            <w:div w:id="1502352734">
              <w:marLeft w:val="0"/>
              <w:marRight w:val="0"/>
              <w:marTop w:val="0"/>
              <w:marBottom w:val="0"/>
              <w:divBdr>
                <w:top w:val="none" w:sz="0" w:space="0" w:color="auto"/>
                <w:left w:val="none" w:sz="0" w:space="0" w:color="auto"/>
                <w:bottom w:val="none" w:sz="0" w:space="0" w:color="auto"/>
                <w:right w:val="none" w:sz="0" w:space="0" w:color="auto"/>
              </w:divBdr>
              <w:divsChild>
                <w:div w:id="1262958038">
                  <w:marLeft w:val="0"/>
                  <w:marRight w:val="0"/>
                  <w:marTop w:val="0"/>
                  <w:marBottom w:val="0"/>
                  <w:divBdr>
                    <w:top w:val="none" w:sz="0" w:space="0" w:color="auto"/>
                    <w:left w:val="none" w:sz="0" w:space="0" w:color="auto"/>
                    <w:bottom w:val="none" w:sz="0" w:space="0" w:color="auto"/>
                    <w:right w:val="none" w:sz="0" w:space="0" w:color="auto"/>
                  </w:divBdr>
                  <w:divsChild>
                    <w:div w:id="1086921905">
                      <w:marLeft w:val="0"/>
                      <w:marRight w:val="0"/>
                      <w:marTop w:val="0"/>
                      <w:marBottom w:val="0"/>
                      <w:divBdr>
                        <w:top w:val="none" w:sz="0" w:space="0" w:color="auto"/>
                        <w:left w:val="none" w:sz="0" w:space="0" w:color="auto"/>
                        <w:bottom w:val="none" w:sz="0" w:space="0" w:color="auto"/>
                        <w:right w:val="none" w:sz="0" w:space="0" w:color="auto"/>
                      </w:divBdr>
                      <w:divsChild>
                        <w:div w:id="883104798">
                          <w:marLeft w:val="0"/>
                          <w:marRight w:val="0"/>
                          <w:marTop w:val="0"/>
                          <w:marBottom w:val="0"/>
                          <w:divBdr>
                            <w:top w:val="none" w:sz="0" w:space="0" w:color="auto"/>
                            <w:left w:val="none" w:sz="0" w:space="0" w:color="auto"/>
                            <w:bottom w:val="none" w:sz="0" w:space="0" w:color="auto"/>
                            <w:right w:val="none" w:sz="0" w:space="0" w:color="auto"/>
                          </w:divBdr>
                          <w:divsChild>
                            <w:div w:id="359429550">
                              <w:marLeft w:val="0"/>
                              <w:marRight w:val="0"/>
                              <w:marTop w:val="0"/>
                              <w:marBottom w:val="0"/>
                              <w:divBdr>
                                <w:top w:val="none" w:sz="0" w:space="0" w:color="auto"/>
                                <w:left w:val="none" w:sz="0" w:space="0" w:color="auto"/>
                                <w:bottom w:val="none" w:sz="0" w:space="0" w:color="auto"/>
                                <w:right w:val="none" w:sz="0" w:space="0" w:color="auto"/>
                              </w:divBdr>
                              <w:divsChild>
                                <w:div w:id="13464731">
                                  <w:marLeft w:val="0"/>
                                  <w:marRight w:val="0"/>
                                  <w:marTop w:val="0"/>
                                  <w:marBottom w:val="0"/>
                                  <w:divBdr>
                                    <w:top w:val="none" w:sz="0" w:space="0" w:color="auto"/>
                                    <w:left w:val="none" w:sz="0" w:space="0" w:color="auto"/>
                                    <w:bottom w:val="none" w:sz="0" w:space="0" w:color="auto"/>
                                    <w:right w:val="none" w:sz="0" w:space="0" w:color="auto"/>
                                  </w:divBdr>
                                  <w:divsChild>
                                    <w:div w:id="11847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22137">
      <w:bodyDiv w:val="1"/>
      <w:marLeft w:val="0"/>
      <w:marRight w:val="0"/>
      <w:marTop w:val="0"/>
      <w:marBottom w:val="0"/>
      <w:divBdr>
        <w:top w:val="none" w:sz="0" w:space="0" w:color="auto"/>
        <w:left w:val="none" w:sz="0" w:space="0" w:color="auto"/>
        <w:bottom w:val="none" w:sz="0" w:space="0" w:color="auto"/>
        <w:right w:val="none" w:sz="0" w:space="0" w:color="auto"/>
      </w:divBdr>
      <w:divsChild>
        <w:div w:id="991913424">
          <w:marLeft w:val="0"/>
          <w:marRight w:val="0"/>
          <w:marTop w:val="0"/>
          <w:marBottom w:val="0"/>
          <w:divBdr>
            <w:top w:val="none" w:sz="0" w:space="0" w:color="auto"/>
            <w:left w:val="none" w:sz="0" w:space="0" w:color="auto"/>
            <w:bottom w:val="none" w:sz="0" w:space="0" w:color="auto"/>
            <w:right w:val="none" w:sz="0" w:space="0" w:color="auto"/>
          </w:divBdr>
        </w:div>
      </w:divsChild>
    </w:div>
    <w:div w:id="1884903924">
      <w:bodyDiv w:val="1"/>
      <w:marLeft w:val="0"/>
      <w:marRight w:val="0"/>
      <w:marTop w:val="0"/>
      <w:marBottom w:val="0"/>
      <w:divBdr>
        <w:top w:val="none" w:sz="0" w:space="0" w:color="auto"/>
        <w:left w:val="none" w:sz="0" w:space="0" w:color="auto"/>
        <w:bottom w:val="none" w:sz="0" w:space="0" w:color="auto"/>
        <w:right w:val="none" w:sz="0" w:space="0" w:color="auto"/>
      </w:divBdr>
      <w:divsChild>
        <w:div w:id="887033582">
          <w:marLeft w:val="0"/>
          <w:marRight w:val="0"/>
          <w:marTop w:val="0"/>
          <w:marBottom w:val="0"/>
          <w:divBdr>
            <w:top w:val="none" w:sz="0" w:space="0" w:color="auto"/>
            <w:left w:val="none" w:sz="0" w:space="0" w:color="auto"/>
            <w:bottom w:val="none" w:sz="0" w:space="0" w:color="auto"/>
            <w:right w:val="none" w:sz="0" w:space="0" w:color="auto"/>
          </w:divBdr>
          <w:divsChild>
            <w:div w:id="595989547">
              <w:marLeft w:val="0"/>
              <w:marRight w:val="0"/>
              <w:marTop w:val="0"/>
              <w:marBottom w:val="0"/>
              <w:divBdr>
                <w:top w:val="none" w:sz="0" w:space="0" w:color="auto"/>
                <w:left w:val="none" w:sz="0" w:space="0" w:color="auto"/>
                <w:bottom w:val="none" w:sz="0" w:space="0" w:color="auto"/>
                <w:right w:val="none" w:sz="0" w:space="0" w:color="auto"/>
              </w:divBdr>
              <w:divsChild>
                <w:div w:id="874004796">
                  <w:marLeft w:val="0"/>
                  <w:marRight w:val="0"/>
                  <w:marTop w:val="0"/>
                  <w:marBottom w:val="0"/>
                  <w:divBdr>
                    <w:top w:val="none" w:sz="0" w:space="0" w:color="auto"/>
                    <w:left w:val="none" w:sz="0" w:space="0" w:color="auto"/>
                    <w:bottom w:val="none" w:sz="0" w:space="0" w:color="auto"/>
                    <w:right w:val="none" w:sz="0" w:space="0" w:color="auto"/>
                  </w:divBdr>
                  <w:divsChild>
                    <w:div w:id="12001123">
                      <w:marLeft w:val="0"/>
                      <w:marRight w:val="0"/>
                      <w:marTop w:val="0"/>
                      <w:marBottom w:val="0"/>
                      <w:divBdr>
                        <w:top w:val="none" w:sz="0" w:space="0" w:color="auto"/>
                        <w:left w:val="none" w:sz="0" w:space="0" w:color="auto"/>
                        <w:bottom w:val="none" w:sz="0" w:space="0" w:color="auto"/>
                        <w:right w:val="none" w:sz="0" w:space="0" w:color="auto"/>
                      </w:divBdr>
                      <w:divsChild>
                        <w:div w:id="1468738256">
                          <w:marLeft w:val="0"/>
                          <w:marRight w:val="0"/>
                          <w:marTop w:val="0"/>
                          <w:marBottom w:val="0"/>
                          <w:divBdr>
                            <w:top w:val="none" w:sz="0" w:space="0" w:color="auto"/>
                            <w:left w:val="none" w:sz="0" w:space="0" w:color="auto"/>
                            <w:bottom w:val="none" w:sz="0" w:space="0" w:color="auto"/>
                            <w:right w:val="none" w:sz="0" w:space="0" w:color="auto"/>
                          </w:divBdr>
                          <w:divsChild>
                            <w:div w:id="463619119">
                              <w:marLeft w:val="0"/>
                              <w:marRight w:val="0"/>
                              <w:marTop w:val="0"/>
                              <w:marBottom w:val="0"/>
                              <w:divBdr>
                                <w:top w:val="none" w:sz="0" w:space="0" w:color="auto"/>
                                <w:left w:val="none" w:sz="0" w:space="0" w:color="auto"/>
                                <w:bottom w:val="none" w:sz="0" w:space="0" w:color="auto"/>
                                <w:right w:val="none" w:sz="0" w:space="0" w:color="auto"/>
                              </w:divBdr>
                              <w:divsChild>
                                <w:div w:id="2097749508">
                                  <w:marLeft w:val="0"/>
                                  <w:marRight w:val="0"/>
                                  <w:marTop w:val="0"/>
                                  <w:marBottom w:val="0"/>
                                  <w:divBdr>
                                    <w:top w:val="none" w:sz="0" w:space="0" w:color="auto"/>
                                    <w:left w:val="none" w:sz="0" w:space="0" w:color="auto"/>
                                    <w:bottom w:val="none" w:sz="0" w:space="0" w:color="auto"/>
                                    <w:right w:val="none" w:sz="0" w:space="0" w:color="auto"/>
                                  </w:divBdr>
                                  <w:divsChild>
                                    <w:div w:id="6669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7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6" ma:contentTypeDescription="Crie um novo documento." ma:contentTypeScope="" ma:versionID="bf619e76bb1efe1ae65d4593f6632b38">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6f68a939dc3c842df641caf610e70b24"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E1149-6667-46DE-A16A-984606597478}">
  <ds:schemaRefs>
    <ds:schemaRef ds:uri="http://schemas.openxmlformats.org/officeDocument/2006/bibliography"/>
  </ds:schemaRefs>
</ds:datastoreItem>
</file>

<file path=customXml/itemProps2.xml><?xml version="1.0" encoding="utf-8"?>
<ds:datastoreItem xmlns:ds="http://schemas.openxmlformats.org/officeDocument/2006/customXml" ds:itemID="{17340756-9D6E-4F4B-BB9E-5F239D837210}">
  <ds:schemaRefs>
    <ds:schemaRef ds:uri="http://schemas.microsoft.com/office/2006/metadata/properties"/>
    <ds:schemaRef ds:uri="http://schemas.microsoft.com/office/infopath/2007/PartnerControls"/>
    <ds:schemaRef ds:uri="cb2519e9-a305-497f-a379-da3f57128b39"/>
    <ds:schemaRef ds:uri="e9581cd1-43a4-4a92-ad08-cc687fe561d2"/>
  </ds:schemaRefs>
</ds:datastoreItem>
</file>

<file path=customXml/itemProps3.xml><?xml version="1.0" encoding="utf-8"?>
<ds:datastoreItem xmlns:ds="http://schemas.openxmlformats.org/officeDocument/2006/customXml" ds:itemID="{8435FCE3-222A-4C30-9FE2-041D5BA244F9}">
  <ds:schemaRefs>
    <ds:schemaRef ds:uri="http://schemas.microsoft.com/sharepoint/v3/contenttype/forms"/>
  </ds:schemaRefs>
</ds:datastoreItem>
</file>

<file path=customXml/itemProps4.xml><?xml version="1.0" encoding="utf-8"?>
<ds:datastoreItem xmlns:ds="http://schemas.openxmlformats.org/officeDocument/2006/customXml" ds:itemID="{C1C818EE-2BAA-4CBB-BFA9-C0810307A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519e9-a305-497f-a379-da3f57128b39"/>
    <ds:schemaRef ds:uri="e9581cd1-43a4-4a92-ad08-cc687fe56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6256</Words>
  <Characters>38354</Characters>
  <Application>Microsoft Office Word</Application>
  <DocSecurity>0</DocSecurity>
  <Lines>2739</Lines>
  <Paragraphs>1312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Campos</dc:creator>
  <cp:keywords/>
  <dc:description/>
  <cp:lastModifiedBy>Denise ABN</cp:lastModifiedBy>
  <cp:revision>2</cp:revision>
  <dcterms:created xsi:type="dcterms:W3CDTF">2025-10-23T12:46:00Z</dcterms:created>
  <dcterms:modified xsi:type="dcterms:W3CDTF">2025-10-23T12:46:00Z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0x010100F0E79E9549BC9247A520D3A09789168D</vt:lpwstr>
  </property>
</Properties>
</file>