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36C2E" w14:textId="77777777" w:rsidR="00C67A3A" w:rsidRDefault="00324F29" w:rsidP="00C67A3A">
      <w:pPr>
        <w:rPr>
          <w:b/>
        </w:rPr>
      </w:pPr>
      <w:r>
        <w:rPr>
          <w:b/>
        </w:rPr>
        <w:t xml:space="preserve">Supplementary </w:t>
      </w:r>
      <w:r w:rsidR="00C67A3A">
        <w:rPr>
          <w:b/>
        </w:rPr>
        <w:t>Material</w:t>
      </w:r>
    </w:p>
    <w:p w14:paraId="19D7574E" w14:textId="458BAC7C" w:rsidR="008A2400" w:rsidRDefault="00324F29" w:rsidP="00C67A3A">
      <w:r>
        <w:rPr>
          <w:b/>
        </w:rPr>
        <w:t>Table</w:t>
      </w:r>
      <w:r w:rsidR="00C67A3A">
        <w:rPr>
          <w:b/>
        </w:rPr>
        <w:t xml:space="preserve"> S</w:t>
      </w:r>
      <w:r w:rsidR="00BE0DC8">
        <w:rPr>
          <w:b/>
        </w:rPr>
        <w:t>1</w:t>
      </w:r>
      <w:r>
        <w:rPr>
          <w:b/>
        </w:rPr>
        <w:t>. Methodological quality assessment of included studies using Joanna Briggs Institute (JBI) Critical Appraisal Checklists</w:t>
      </w:r>
    </w:p>
    <w:p w14:paraId="753D09C0" w14:textId="77777777" w:rsidR="008A2400" w:rsidRDefault="00324F29">
      <w:r>
        <w:t>Rating categories: Yes / No / Unclear / Not applicable (N/A). Overall appraisal reflects a qualitative judgment based on domain-level appraisal (no numerical scoring).</w:t>
      </w:r>
    </w:p>
    <w:p w14:paraId="41ABF05A" w14:textId="77777777" w:rsidR="008A2400" w:rsidRDefault="00324F29">
      <w:r>
        <w:rPr>
          <w:b/>
        </w:rPr>
        <w:br/>
        <w:t>A. Cross-sectional studies – JBI Critical Appraisal Checklist for Analytical Cross-Sectional Studies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6"/>
        <w:gridCol w:w="720"/>
        <w:gridCol w:w="981"/>
        <w:gridCol w:w="720"/>
        <w:gridCol w:w="720"/>
        <w:gridCol w:w="720"/>
        <w:gridCol w:w="720"/>
        <w:gridCol w:w="878"/>
        <w:gridCol w:w="720"/>
        <w:gridCol w:w="878"/>
        <w:gridCol w:w="878"/>
        <w:gridCol w:w="1140"/>
      </w:tblGrid>
      <w:tr w:rsidR="008A2400" w14:paraId="6B68AFAC" w14:textId="77777777">
        <w:tc>
          <w:tcPr>
            <w:tcW w:w="720" w:type="dxa"/>
          </w:tcPr>
          <w:p w14:paraId="7C309238" w14:textId="77777777" w:rsidR="008A2400" w:rsidRDefault="00324F29">
            <w:r>
              <w:rPr>
                <w:b/>
                <w:sz w:val="20"/>
              </w:rPr>
              <w:t>Study</w:t>
            </w:r>
          </w:p>
        </w:tc>
        <w:tc>
          <w:tcPr>
            <w:tcW w:w="720" w:type="dxa"/>
          </w:tcPr>
          <w:p w14:paraId="6E667344" w14:textId="77777777" w:rsidR="008A2400" w:rsidRDefault="00324F29">
            <w:r>
              <w:rPr>
                <w:b/>
                <w:sz w:val="20"/>
              </w:rPr>
              <w:t>Ref.</w:t>
            </w:r>
          </w:p>
        </w:tc>
        <w:tc>
          <w:tcPr>
            <w:tcW w:w="720" w:type="dxa"/>
          </w:tcPr>
          <w:p w14:paraId="6B60DA88" w14:textId="77777777" w:rsidR="008A2400" w:rsidRDefault="00324F29">
            <w:r>
              <w:rPr>
                <w:b/>
                <w:sz w:val="20"/>
              </w:rPr>
              <w:t>Design</w:t>
            </w:r>
          </w:p>
        </w:tc>
        <w:tc>
          <w:tcPr>
            <w:tcW w:w="720" w:type="dxa"/>
          </w:tcPr>
          <w:p w14:paraId="7DAC83B8" w14:textId="77777777" w:rsidR="008A2400" w:rsidRDefault="00324F29">
            <w:r>
              <w:rPr>
                <w:b/>
                <w:sz w:val="20"/>
              </w:rPr>
              <w:t>Q1</w:t>
            </w:r>
          </w:p>
        </w:tc>
        <w:tc>
          <w:tcPr>
            <w:tcW w:w="720" w:type="dxa"/>
          </w:tcPr>
          <w:p w14:paraId="5E4634D6" w14:textId="77777777" w:rsidR="008A2400" w:rsidRDefault="00324F29">
            <w:r>
              <w:rPr>
                <w:b/>
                <w:sz w:val="20"/>
              </w:rPr>
              <w:t>Q2</w:t>
            </w:r>
          </w:p>
        </w:tc>
        <w:tc>
          <w:tcPr>
            <w:tcW w:w="720" w:type="dxa"/>
          </w:tcPr>
          <w:p w14:paraId="4665CD7C" w14:textId="77777777" w:rsidR="008A2400" w:rsidRDefault="00324F29">
            <w:r>
              <w:rPr>
                <w:b/>
                <w:sz w:val="20"/>
              </w:rPr>
              <w:t>Q3</w:t>
            </w:r>
          </w:p>
        </w:tc>
        <w:tc>
          <w:tcPr>
            <w:tcW w:w="720" w:type="dxa"/>
          </w:tcPr>
          <w:p w14:paraId="4A88DC6C" w14:textId="77777777" w:rsidR="008A2400" w:rsidRDefault="00324F29">
            <w:r>
              <w:rPr>
                <w:b/>
                <w:sz w:val="20"/>
              </w:rPr>
              <w:t>Q4</w:t>
            </w:r>
          </w:p>
        </w:tc>
        <w:tc>
          <w:tcPr>
            <w:tcW w:w="720" w:type="dxa"/>
          </w:tcPr>
          <w:p w14:paraId="7F7CF4EC" w14:textId="77777777" w:rsidR="008A2400" w:rsidRDefault="00324F29">
            <w:r>
              <w:rPr>
                <w:b/>
                <w:sz w:val="20"/>
              </w:rPr>
              <w:t>Q5</w:t>
            </w:r>
          </w:p>
        </w:tc>
        <w:tc>
          <w:tcPr>
            <w:tcW w:w="720" w:type="dxa"/>
          </w:tcPr>
          <w:p w14:paraId="77CCEBD4" w14:textId="77777777" w:rsidR="008A2400" w:rsidRDefault="00324F29">
            <w:r>
              <w:rPr>
                <w:b/>
                <w:sz w:val="20"/>
              </w:rPr>
              <w:t>Q6</w:t>
            </w:r>
          </w:p>
        </w:tc>
        <w:tc>
          <w:tcPr>
            <w:tcW w:w="720" w:type="dxa"/>
          </w:tcPr>
          <w:p w14:paraId="0B802C04" w14:textId="77777777" w:rsidR="008A2400" w:rsidRDefault="00324F29">
            <w:r>
              <w:rPr>
                <w:b/>
                <w:sz w:val="20"/>
              </w:rPr>
              <w:t>Q7</w:t>
            </w:r>
          </w:p>
        </w:tc>
        <w:tc>
          <w:tcPr>
            <w:tcW w:w="720" w:type="dxa"/>
          </w:tcPr>
          <w:p w14:paraId="4F253CA4" w14:textId="77777777" w:rsidR="008A2400" w:rsidRDefault="00324F29">
            <w:r>
              <w:rPr>
                <w:b/>
                <w:sz w:val="20"/>
              </w:rPr>
              <w:t>Q8</w:t>
            </w:r>
          </w:p>
        </w:tc>
        <w:tc>
          <w:tcPr>
            <w:tcW w:w="720" w:type="dxa"/>
          </w:tcPr>
          <w:p w14:paraId="62943957" w14:textId="77777777" w:rsidR="008A2400" w:rsidRDefault="00324F29">
            <w:r>
              <w:rPr>
                <w:b/>
                <w:sz w:val="20"/>
              </w:rPr>
              <w:t>Overall appraisal</w:t>
            </w:r>
          </w:p>
        </w:tc>
      </w:tr>
      <w:tr w:rsidR="008A2400" w14:paraId="3599101D" w14:textId="77777777">
        <w:tc>
          <w:tcPr>
            <w:tcW w:w="720" w:type="dxa"/>
          </w:tcPr>
          <w:p w14:paraId="2A2836FF" w14:textId="77777777" w:rsidR="008A2400" w:rsidRDefault="00324F29">
            <w:r>
              <w:rPr>
                <w:sz w:val="20"/>
              </w:rPr>
              <w:t>Conceição et al., 2023</w:t>
            </w:r>
          </w:p>
        </w:tc>
        <w:tc>
          <w:tcPr>
            <w:tcW w:w="720" w:type="dxa"/>
          </w:tcPr>
          <w:p w14:paraId="63D2A27C" w14:textId="77777777" w:rsidR="008A2400" w:rsidRDefault="00324F29">
            <w:r>
              <w:rPr>
                <w:sz w:val="20"/>
              </w:rPr>
              <w:t>9</w:t>
            </w:r>
          </w:p>
        </w:tc>
        <w:tc>
          <w:tcPr>
            <w:tcW w:w="720" w:type="dxa"/>
          </w:tcPr>
          <w:p w14:paraId="22B064B0" w14:textId="77777777" w:rsidR="008A2400" w:rsidRDefault="00324F29">
            <w:r>
              <w:rPr>
                <w:sz w:val="20"/>
              </w:rPr>
              <w:t>Cross-sectional</w:t>
            </w:r>
          </w:p>
        </w:tc>
        <w:tc>
          <w:tcPr>
            <w:tcW w:w="720" w:type="dxa"/>
          </w:tcPr>
          <w:p w14:paraId="64136E28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5875D38A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3B413B43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508B42EB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09931973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6B440FB7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2D1BCF80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1EF42A42" w14:textId="77777777" w:rsidR="008A2400" w:rsidRDefault="00324F29">
            <w:r>
              <w:rPr>
                <w:sz w:val="20"/>
              </w:rPr>
              <w:t>Unclear</w:t>
            </w:r>
          </w:p>
        </w:tc>
        <w:tc>
          <w:tcPr>
            <w:tcW w:w="720" w:type="dxa"/>
          </w:tcPr>
          <w:p w14:paraId="1805E7C4" w14:textId="77777777" w:rsidR="008A2400" w:rsidRDefault="00324F29">
            <w:r>
              <w:rPr>
                <w:sz w:val="20"/>
              </w:rPr>
              <w:t>Moderate–High</w:t>
            </w:r>
          </w:p>
        </w:tc>
      </w:tr>
      <w:tr w:rsidR="008A2400" w14:paraId="32F9BAA6" w14:textId="77777777">
        <w:tc>
          <w:tcPr>
            <w:tcW w:w="720" w:type="dxa"/>
          </w:tcPr>
          <w:p w14:paraId="4C0BEE11" w14:textId="77777777" w:rsidR="008A2400" w:rsidRDefault="00324F29">
            <w:r>
              <w:rPr>
                <w:sz w:val="20"/>
              </w:rPr>
              <w:t>Van Pelt et al., 2020</w:t>
            </w:r>
          </w:p>
        </w:tc>
        <w:tc>
          <w:tcPr>
            <w:tcW w:w="720" w:type="dxa"/>
          </w:tcPr>
          <w:p w14:paraId="00B8F199" w14:textId="77777777" w:rsidR="008A2400" w:rsidRDefault="00324F29">
            <w:r>
              <w:rPr>
                <w:sz w:val="20"/>
              </w:rPr>
              <w:t>10</w:t>
            </w:r>
          </w:p>
        </w:tc>
        <w:tc>
          <w:tcPr>
            <w:tcW w:w="720" w:type="dxa"/>
          </w:tcPr>
          <w:p w14:paraId="521931E1" w14:textId="77777777" w:rsidR="008A2400" w:rsidRDefault="00324F29">
            <w:r>
              <w:rPr>
                <w:sz w:val="20"/>
              </w:rPr>
              <w:t>Cross-sectional</w:t>
            </w:r>
          </w:p>
        </w:tc>
        <w:tc>
          <w:tcPr>
            <w:tcW w:w="720" w:type="dxa"/>
          </w:tcPr>
          <w:p w14:paraId="2B9B6087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02D2ED8B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70EFA072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33EB230A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5EABF725" w14:textId="77777777" w:rsidR="008A2400" w:rsidRDefault="00324F29">
            <w:r>
              <w:rPr>
                <w:sz w:val="20"/>
              </w:rPr>
              <w:t>Unclear</w:t>
            </w:r>
          </w:p>
        </w:tc>
        <w:tc>
          <w:tcPr>
            <w:tcW w:w="720" w:type="dxa"/>
          </w:tcPr>
          <w:p w14:paraId="06352F58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416601D5" w14:textId="77777777" w:rsidR="008A2400" w:rsidRDefault="00324F29">
            <w:r>
              <w:rPr>
                <w:sz w:val="20"/>
              </w:rPr>
              <w:t>Unclear</w:t>
            </w:r>
          </w:p>
        </w:tc>
        <w:tc>
          <w:tcPr>
            <w:tcW w:w="720" w:type="dxa"/>
          </w:tcPr>
          <w:p w14:paraId="0161316F" w14:textId="77777777" w:rsidR="008A2400" w:rsidRDefault="00324F29">
            <w:r>
              <w:rPr>
                <w:sz w:val="20"/>
              </w:rPr>
              <w:t>Unclear</w:t>
            </w:r>
          </w:p>
        </w:tc>
        <w:tc>
          <w:tcPr>
            <w:tcW w:w="720" w:type="dxa"/>
          </w:tcPr>
          <w:p w14:paraId="08B215C4" w14:textId="77777777" w:rsidR="008A2400" w:rsidRDefault="00324F29">
            <w:r>
              <w:rPr>
                <w:sz w:val="20"/>
              </w:rPr>
              <w:t>Moderate</w:t>
            </w:r>
          </w:p>
        </w:tc>
      </w:tr>
      <w:tr w:rsidR="008A2400" w14:paraId="51772909" w14:textId="77777777">
        <w:tc>
          <w:tcPr>
            <w:tcW w:w="720" w:type="dxa"/>
          </w:tcPr>
          <w:p w14:paraId="317A4B5C" w14:textId="77777777" w:rsidR="008A2400" w:rsidRDefault="00324F29">
            <w:r>
              <w:rPr>
                <w:sz w:val="20"/>
              </w:rPr>
              <w:t>Washington et al., 2024</w:t>
            </w:r>
          </w:p>
        </w:tc>
        <w:tc>
          <w:tcPr>
            <w:tcW w:w="720" w:type="dxa"/>
          </w:tcPr>
          <w:p w14:paraId="3BA9CA79" w14:textId="77777777" w:rsidR="008A2400" w:rsidRDefault="00324F29">
            <w:r>
              <w:rPr>
                <w:sz w:val="20"/>
              </w:rPr>
              <w:t>27</w:t>
            </w:r>
          </w:p>
        </w:tc>
        <w:tc>
          <w:tcPr>
            <w:tcW w:w="720" w:type="dxa"/>
          </w:tcPr>
          <w:p w14:paraId="7BC94F12" w14:textId="77777777" w:rsidR="008A2400" w:rsidRDefault="00324F29">
            <w:r>
              <w:rPr>
                <w:sz w:val="20"/>
              </w:rPr>
              <w:t>Cross-sectional</w:t>
            </w:r>
          </w:p>
        </w:tc>
        <w:tc>
          <w:tcPr>
            <w:tcW w:w="720" w:type="dxa"/>
          </w:tcPr>
          <w:p w14:paraId="74EB563A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0357F678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609715C2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1F2AAE36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436A1553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57C0E479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1E09CF33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795E97D0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3CF300EC" w14:textId="77777777" w:rsidR="008A2400" w:rsidRDefault="00324F29">
            <w:r>
              <w:rPr>
                <w:sz w:val="20"/>
              </w:rPr>
              <w:t>High</w:t>
            </w:r>
          </w:p>
        </w:tc>
      </w:tr>
    </w:tbl>
    <w:p w14:paraId="636E2D29" w14:textId="77777777" w:rsidR="008A2400" w:rsidRDefault="00324F29">
      <w:r>
        <w:br/>
      </w:r>
      <w:r>
        <w:t>JBI domains (Analytical Cross-Sectional Studies): Q1 Inclusion criteria clearly defined; Q2 Study subjects and setting described; Q3 Exposure measured validly and reliably; Q4 Objective, standard criteria used for condition measurement; Q5 Confounding factors identified; Q6 Strategies to deal with confounding stated; Q7 Outcomes measured validly and reliably; Q8 Appropriate statistical analysis.</w:t>
      </w:r>
    </w:p>
    <w:p w14:paraId="14C77782" w14:textId="77777777" w:rsidR="008A2400" w:rsidRDefault="00324F29">
      <w:r>
        <w:rPr>
          <w:b/>
        </w:rPr>
        <w:br/>
        <w:t>B. Longitudinal cohort studies – JBI Critical Appraisal Checklist for Cohort Studies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7"/>
        <w:gridCol w:w="576"/>
        <w:gridCol w:w="1404"/>
        <w:gridCol w:w="576"/>
        <w:gridCol w:w="576"/>
        <w:gridCol w:w="576"/>
        <w:gridCol w:w="576"/>
        <w:gridCol w:w="878"/>
        <w:gridCol w:w="576"/>
        <w:gridCol w:w="576"/>
        <w:gridCol w:w="576"/>
        <w:gridCol w:w="878"/>
        <w:gridCol w:w="592"/>
        <w:gridCol w:w="592"/>
        <w:gridCol w:w="1140"/>
      </w:tblGrid>
      <w:tr w:rsidR="008A2400" w14:paraId="3F93CE05" w14:textId="77777777">
        <w:tc>
          <w:tcPr>
            <w:tcW w:w="576" w:type="dxa"/>
          </w:tcPr>
          <w:p w14:paraId="43406222" w14:textId="77777777" w:rsidR="008A2400" w:rsidRDefault="00324F29">
            <w:r>
              <w:rPr>
                <w:b/>
                <w:sz w:val="20"/>
              </w:rPr>
              <w:t>Study</w:t>
            </w:r>
          </w:p>
        </w:tc>
        <w:tc>
          <w:tcPr>
            <w:tcW w:w="576" w:type="dxa"/>
          </w:tcPr>
          <w:p w14:paraId="18019D21" w14:textId="77777777" w:rsidR="008A2400" w:rsidRDefault="00324F29">
            <w:r>
              <w:rPr>
                <w:b/>
                <w:sz w:val="20"/>
              </w:rPr>
              <w:t>Ref.</w:t>
            </w:r>
          </w:p>
        </w:tc>
        <w:tc>
          <w:tcPr>
            <w:tcW w:w="576" w:type="dxa"/>
          </w:tcPr>
          <w:p w14:paraId="10F5A840" w14:textId="77777777" w:rsidR="008A2400" w:rsidRDefault="00324F29">
            <w:r>
              <w:rPr>
                <w:b/>
                <w:sz w:val="20"/>
              </w:rPr>
              <w:t>Design</w:t>
            </w:r>
          </w:p>
        </w:tc>
        <w:tc>
          <w:tcPr>
            <w:tcW w:w="576" w:type="dxa"/>
          </w:tcPr>
          <w:p w14:paraId="3B4447A3" w14:textId="77777777" w:rsidR="008A2400" w:rsidRDefault="00324F29">
            <w:r>
              <w:rPr>
                <w:b/>
                <w:sz w:val="20"/>
              </w:rPr>
              <w:t>Q1</w:t>
            </w:r>
          </w:p>
        </w:tc>
        <w:tc>
          <w:tcPr>
            <w:tcW w:w="576" w:type="dxa"/>
          </w:tcPr>
          <w:p w14:paraId="457D0E62" w14:textId="77777777" w:rsidR="008A2400" w:rsidRDefault="00324F29">
            <w:r>
              <w:rPr>
                <w:b/>
                <w:sz w:val="20"/>
              </w:rPr>
              <w:t>Q2</w:t>
            </w:r>
          </w:p>
        </w:tc>
        <w:tc>
          <w:tcPr>
            <w:tcW w:w="576" w:type="dxa"/>
          </w:tcPr>
          <w:p w14:paraId="699D9B18" w14:textId="77777777" w:rsidR="008A2400" w:rsidRDefault="00324F29">
            <w:r>
              <w:rPr>
                <w:b/>
                <w:sz w:val="20"/>
              </w:rPr>
              <w:t>Q3</w:t>
            </w:r>
          </w:p>
        </w:tc>
        <w:tc>
          <w:tcPr>
            <w:tcW w:w="576" w:type="dxa"/>
          </w:tcPr>
          <w:p w14:paraId="5E53CB39" w14:textId="77777777" w:rsidR="008A2400" w:rsidRDefault="00324F29">
            <w:r>
              <w:rPr>
                <w:b/>
                <w:sz w:val="20"/>
              </w:rPr>
              <w:t>Q4</w:t>
            </w:r>
          </w:p>
        </w:tc>
        <w:tc>
          <w:tcPr>
            <w:tcW w:w="576" w:type="dxa"/>
          </w:tcPr>
          <w:p w14:paraId="4FA82BF0" w14:textId="77777777" w:rsidR="008A2400" w:rsidRDefault="00324F29">
            <w:r>
              <w:rPr>
                <w:b/>
                <w:sz w:val="20"/>
              </w:rPr>
              <w:t>Q5</w:t>
            </w:r>
          </w:p>
        </w:tc>
        <w:tc>
          <w:tcPr>
            <w:tcW w:w="576" w:type="dxa"/>
          </w:tcPr>
          <w:p w14:paraId="01AA750D" w14:textId="77777777" w:rsidR="008A2400" w:rsidRDefault="00324F29">
            <w:r>
              <w:rPr>
                <w:b/>
                <w:sz w:val="20"/>
              </w:rPr>
              <w:t>Q6</w:t>
            </w:r>
          </w:p>
        </w:tc>
        <w:tc>
          <w:tcPr>
            <w:tcW w:w="576" w:type="dxa"/>
          </w:tcPr>
          <w:p w14:paraId="0359258E" w14:textId="77777777" w:rsidR="008A2400" w:rsidRDefault="00324F29">
            <w:r>
              <w:rPr>
                <w:b/>
                <w:sz w:val="20"/>
              </w:rPr>
              <w:t>Q7</w:t>
            </w:r>
          </w:p>
        </w:tc>
        <w:tc>
          <w:tcPr>
            <w:tcW w:w="576" w:type="dxa"/>
          </w:tcPr>
          <w:p w14:paraId="0E02640D" w14:textId="77777777" w:rsidR="008A2400" w:rsidRDefault="00324F29">
            <w:r>
              <w:rPr>
                <w:b/>
                <w:sz w:val="20"/>
              </w:rPr>
              <w:t>Q8</w:t>
            </w:r>
          </w:p>
        </w:tc>
        <w:tc>
          <w:tcPr>
            <w:tcW w:w="576" w:type="dxa"/>
          </w:tcPr>
          <w:p w14:paraId="0CC4F852" w14:textId="77777777" w:rsidR="008A2400" w:rsidRDefault="00324F29">
            <w:r>
              <w:rPr>
                <w:b/>
                <w:sz w:val="20"/>
              </w:rPr>
              <w:t>Q9</w:t>
            </w:r>
          </w:p>
        </w:tc>
        <w:tc>
          <w:tcPr>
            <w:tcW w:w="576" w:type="dxa"/>
          </w:tcPr>
          <w:p w14:paraId="7B770F74" w14:textId="77777777" w:rsidR="008A2400" w:rsidRDefault="00324F29">
            <w:r>
              <w:rPr>
                <w:b/>
                <w:sz w:val="20"/>
              </w:rPr>
              <w:t>Q10</w:t>
            </w:r>
          </w:p>
        </w:tc>
        <w:tc>
          <w:tcPr>
            <w:tcW w:w="576" w:type="dxa"/>
          </w:tcPr>
          <w:p w14:paraId="2198DD66" w14:textId="77777777" w:rsidR="008A2400" w:rsidRDefault="00324F29">
            <w:r>
              <w:rPr>
                <w:b/>
                <w:sz w:val="20"/>
              </w:rPr>
              <w:t>Q11</w:t>
            </w:r>
          </w:p>
        </w:tc>
        <w:tc>
          <w:tcPr>
            <w:tcW w:w="576" w:type="dxa"/>
          </w:tcPr>
          <w:p w14:paraId="007264DB" w14:textId="77777777" w:rsidR="008A2400" w:rsidRDefault="00324F29">
            <w:r>
              <w:rPr>
                <w:b/>
                <w:sz w:val="20"/>
              </w:rPr>
              <w:t>Overall appraisal</w:t>
            </w:r>
          </w:p>
        </w:tc>
      </w:tr>
      <w:tr w:rsidR="008A2400" w14:paraId="76519BA6" w14:textId="77777777">
        <w:tc>
          <w:tcPr>
            <w:tcW w:w="576" w:type="dxa"/>
          </w:tcPr>
          <w:p w14:paraId="245372F5" w14:textId="77777777" w:rsidR="008A2400" w:rsidRDefault="00324F29">
            <w:r>
              <w:rPr>
                <w:sz w:val="20"/>
              </w:rPr>
              <w:lastRenderedPageBreak/>
              <w:t>Barry et al., 2025</w:t>
            </w:r>
          </w:p>
        </w:tc>
        <w:tc>
          <w:tcPr>
            <w:tcW w:w="576" w:type="dxa"/>
          </w:tcPr>
          <w:p w14:paraId="306DD77A" w14:textId="77777777" w:rsidR="008A2400" w:rsidRDefault="00324F29">
            <w:r>
              <w:rPr>
                <w:sz w:val="20"/>
              </w:rPr>
              <w:t>13</w:t>
            </w:r>
          </w:p>
        </w:tc>
        <w:tc>
          <w:tcPr>
            <w:tcW w:w="576" w:type="dxa"/>
          </w:tcPr>
          <w:p w14:paraId="00F03F30" w14:textId="77777777" w:rsidR="008A2400" w:rsidRDefault="00324F29">
            <w:r>
              <w:rPr>
                <w:sz w:val="20"/>
              </w:rPr>
              <w:t>Cohort (longitudinal)</w:t>
            </w:r>
          </w:p>
        </w:tc>
        <w:tc>
          <w:tcPr>
            <w:tcW w:w="576" w:type="dxa"/>
          </w:tcPr>
          <w:p w14:paraId="1BB4BC14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7FA0021C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387DF661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5361AF65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65928C75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42234B61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5F0FB123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780B70F1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69F8B699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0581FEE7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671C85EF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4C4B0D7F" w14:textId="77777777" w:rsidR="008A2400" w:rsidRDefault="00324F29">
            <w:r>
              <w:rPr>
                <w:sz w:val="20"/>
              </w:rPr>
              <w:t>High</w:t>
            </w:r>
          </w:p>
        </w:tc>
      </w:tr>
      <w:tr w:rsidR="008A2400" w14:paraId="2A85D6ED" w14:textId="77777777">
        <w:tc>
          <w:tcPr>
            <w:tcW w:w="576" w:type="dxa"/>
          </w:tcPr>
          <w:p w14:paraId="33CD1954" w14:textId="77777777" w:rsidR="008A2400" w:rsidRDefault="00324F29">
            <w:r>
              <w:rPr>
                <w:sz w:val="20"/>
              </w:rPr>
              <w:t>Leach et al., 2025</w:t>
            </w:r>
          </w:p>
        </w:tc>
        <w:tc>
          <w:tcPr>
            <w:tcW w:w="576" w:type="dxa"/>
          </w:tcPr>
          <w:p w14:paraId="5E518641" w14:textId="77777777" w:rsidR="008A2400" w:rsidRDefault="00324F29">
            <w:r>
              <w:rPr>
                <w:sz w:val="20"/>
              </w:rPr>
              <w:t>26</w:t>
            </w:r>
          </w:p>
        </w:tc>
        <w:tc>
          <w:tcPr>
            <w:tcW w:w="576" w:type="dxa"/>
          </w:tcPr>
          <w:p w14:paraId="7898442D" w14:textId="77777777" w:rsidR="008A2400" w:rsidRDefault="00324F29">
            <w:r>
              <w:rPr>
                <w:sz w:val="20"/>
              </w:rPr>
              <w:t>Cohort (longitudinal)</w:t>
            </w:r>
          </w:p>
        </w:tc>
        <w:tc>
          <w:tcPr>
            <w:tcW w:w="576" w:type="dxa"/>
          </w:tcPr>
          <w:p w14:paraId="047C6704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3388B0E3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1DF6C34B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1EAECB05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32AF5031" w14:textId="77777777" w:rsidR="008A2400" w:rsidRDefault="00324F29">
            <w:r>
              <w:rPr>
                <w:sz w:val="20"/>
              </w:rPr>
              <w:t>Unclear</w:t>
            </w:r>
          </w:p>
        </w:tc>
        <w:tc>
          <w:tcPr>
            <w:tcW w:w="576" w:type="dxa"/>
          </w:tcPr>
          <w:p w14:paraId="0AA42552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56387322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4EA5CFF8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4A283728" w14:textId="77777777" w:rsidR="008A2400" w:rsidRDefault="00324F29">
            <w:r>
              <w:rPr>
                <w:sz w:val="20"/>
              </w:rPr>
              <w:t>Unclear</w:t>
            </w:r>
          </w:p>
        </w:tc>
        <w:tc>
          <w:tcPr>
            <w:tcW w:w="576" w:type="dxa"/>
          </w:tcPr>
          <w:p w14:paraId="03D8E01D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321A5F33" w14:textId="77777777" w:rsidR="008A2400" w:rsidRDefault="00324F29">
            <w:r>
              <w:rPr>
                <w:sz w:val="20"/>
              </w:rPr>
              <w:t>Yes</w:t>
            </w:r>
          </w:p>
        </w:tc>
        <w:tc>
          <w:tcPr>
            <w:tcW w:w="576" w:type="dxa"/>
          </w:tcPr>
          <w:p w14:paraId="38C2F6E1" w14:textId="77777777" w:rsidR="008A2400" w:rsidRDefault="00324F29">
            <w:r>
              <w:rPr>
                <w:sz w:val="20"/>
              </w:rPr>
              <w:t>Moderate–High</w:t>
            </w:r>
          </w:p>
        </w:tc>
      </w:tr>
    </w:tbl>
    <w:p w14:paraId="6B931CFC" w14:textId="77777777" w:rsidR="008A2400" w:rsidRDefault="00324F29">
      <w:r>
        <w:br/>
        <w:t>JBI domains (Cohort Studies): Q1 Groups similar and recruited from the same population; Q2 Exposures measured similarly; Q3 Exposure measured validly and reliably; Q4 Confounding factors identified; Q5 Strategies to deal with confounding stated; Q6 Participants free of outcome at baseline; Q7 Outcomes measured validly and reliably; Q8 Follow-up time reported and sufficient; Q9 Follow-up complete or adequately addressed; Q10 Strategies to address incomplete follow-up; Q11 Appropriate statistical analysis.</w:t>
      </w:r>
    </w:p>
    <w:p w14:paraId="05CBD60D" w14:textId="77777777" w:rsidR="008A2400" w:rsidRDefault="00324F29">
      <w:r>
        <w:br/>
        <w:t>Methodological note: Overall methodological quality ranged from moderate to high. Main limitations identified across studies included small sample sizes, incomplete adjustment for confounders, and limited reporting of follow-up information in some investigations. Longitudinal cohort studies provided stronger evidence for associations between gait alterations and dementia risk.</w:t>
      </w:r>
    </w:p>
    <w:sectPr w:rsidR="008A2400" w:rsidSect="00454F0A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111753">
    <w:abstractNumId w:val="8"/>
  </w:num>
  <w:num w:numId="2" w16cid:durableId="1809929168">
    <w:abstractNumId w:val="6"/>
  </w:num>
  <w:num w:numId="3" w16cid:durableId="1639261311">
    <w:abstractNumId w:val="5"/>
  </w:num>
  <w:num w:numId="4" w16cid:durableId="1799837485">
    <w:abstractNumId w:val="4"/>
  </w:num>
  <w:num w:numId="5" w16cid:durableId="852571422">
    <w:abstractNumId w:val="7"/>
  </w:num>
  <w:num w:numId="6" w16cid:durableId="27066638">
    <w:abstractNumId w:val="3"/>
  </w:num>
  <w:num w:numId="7" w16cid:durableId="1434007966">
    <w:abstractNumId w:val="2"/>
  </w:num>
  <w:num w:numId="8" w16cid:durableId="713775648">
    <w:abstractNumId w:val="1"/>
  </w:num>
  <w:num w:numId="9" w16cid:durableId="192761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9A3"/>
    <w:rsid w:val="0006063C"/>
    <w:rsid w:val="0015074B"/>
    <w:rsid w:val="0029639D"/>
    <w:rsid w:val="00324F29"/>
    <w:rsid w:val="00326F90"/>
    <w:rsid w:val="00454F0A"/>
    <w:rsid w:val="00476C9F"/>
    <w:rsid w:val="004B13D6"/>
    <w:rsid w:val="00814D71"/>
    <w:rsid w:val="008A2400"/>
    <w:rsid w:val="00A7652C"/>
    <w:rsid w:val="00AA1D8D"/>
    <w:rsid w:val="00B47730"/>
    <w:rsid w:val="00BE0DC8"/>
    <w:rsid w:val="00C67A3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E7A9F"/>
  <w14:defaultImageDpi w14:val="300"/>
  <w15:docId w15:val="{86D4A1BD-6084-45F8-AE5A-96666598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4e78e09de64c8274d6f2e198a3bca7f3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1d38f2b641499ec940c65b951fb51f20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0AD872-41F0-4DC1-80A9-FA2E4976C793}"/>
</file>

<file path=customXml/itemProps3.xml><?xml version="1.0" encoding="utf-8"?>
<ds:datastoreItem xmlns:ds="http://schemas.openxmlformats.org/officeDocument/2006/customXml" ds:itemID="{4A1F60EC-7330-411A-A81E-273464F72620}"/>
</file>

<file path=customXml/itemProps4.xml><?xml version="1.0" encoding="utf-8"?>
<ds:datastoreItem xmlns:ds="http://schemas.openxmlformats.org/officeDocument/2006/customXml" ds:itemID="{8A3E3869-D4BE-492E-992A-5667B3B820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2050</Characters>
  <Application>Microsoft Office Word</Application>
  <DocSecurity>0</DocSecurity>
  <Lines>130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Denise ABN</cp:lastModifiedBy>
  <cp:revision>2</cp:revision>
  <dcterms:created xsi:type="dcterms:W3CDTF">2026-04-14T11:52:00Z</dcterms:created>
  <dcterms:modified xsi:type="dcterms:W3CDTF">2026-04-14T11:52:00Z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